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1B" w:rsidRPr="00CC5F9B" w:rsidRDefault="00CC0FAA" w:rsidP="00CC5F9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C5F9B">
        <w:rPr>
          <w:rFonts w:ascii="Times New Roman" w:eastAsia="標楷體" w:hAnsi="Times New Roman" w:cs="Times New Roman"/>
          <w:b/>
          <w:sz w:val="32"/>
          <w:szCs w:val="32"/>
        </w:rPr>
        <w:t>實施五歲幼兒義務化的理由</w:t>
      </w:r>
    </w:p>
    <w:p w:rsidR="00E323C3" w:rsidRPr="00CC5F9B" w:rsidRDefault="00E323C3" w:rsidP="00CC5F9B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CC5F9B">
        <w:rPr>
          <w:rFonts w:ascii="Times New Roman" w:eastAsia="標楷體" w:hAnsi="Times New Roman" w:cs="Times New Roman"/>
          <w:b/>
          <w:szCs w:val="24"/>
        </w:rPr>
        <w:t>王麗雲</w:t>
      </w:r>
    </w:p>
    <w:p w:rsidR="00E323C3" w:rsidRPr="00CC5F9B" w:rsidRDefault="00E323C3" w:rsidP="00CC5F9B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CC5F9B">
        <w:rPr>
          <w:rFonts w:ascii="Times New Roman" w:eastAsia="標楷體" w:hAnsi="Times New Roman" w:cs="Times New Roman"/>
          <w:b/>
          <w:szCs w:val="24"/>
        </w:rPr>
        <w:t>國立臺灣師範大學教育政策與行政</w:t>
      </w:r>
      <w:r w:rsidR="00C67591" w:rsidRPr="00CC5F9B">
        <w:rPr>
          <w:rFonts w:ascii="Times New Roman" w:eastAsia="標楷體" w:hAnsi="Times New Roman" w:cs="Times New Roman"/>
          <w:b/>
          <w:szCs w:val="24"/>
        </w:rPr>
        <w:t>研究</w:t>
      </w:r>
      <w:r w:rsidRPr="00CC5F9B">
        <w:rPr>
          <w:rFonts w:ascii="Times New Roman" w:eastAsia="標楷體" w:hAnsi="Times New Roman" w:cs="Times New Roman"/>
          <w:b/>
          <w:szCs w:val="24"/>
        </w:rPr>
        <w:t>所教授</w:t>
      </w:r>
    </w:p>
    <w:p w:rsidR="00E14B9A" w:rsidRDefault="00E14B9A" w:rsidP="00E14B9A">
      <w:pPr>
        <w:jc w:val="both"/>
        <w:rPr>
          <w:rFonts w:ascii="Times New Roman" w:eastAsia="標楷體" w:hAnsi="Times New Roman" w:cs="Times New Roman"/>
        </w:rPr>
      </w:pPr>
    </w:p>
    <w:p w:rsidR="00D56549" w:rsidRPr="00CC5F9B" w:rsidRDefault="00E14B9A" w:rsidP="00E14B9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D56549" w:rsidRPr="00CC5F9B">
        <w:rPr>
          <w:rFonts w:ascii="Times New Roman" w:eastAsia="標楷體" w:hAnsi="Times New Roman" w:cs="Times New Roman"/>
          <w:sz w:val="26"/>
          <w:szCs w:val="26"/>
        </w:rPr>
        <w:t>教育投資是重大投資，義務教育之辦理，涉及基本人權</w:t>
      </w:r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保障</w:t>
      </w:r>
      <w:r w:rsidR="00D56549" w:rsidRPr="00CC5F9B">
        <w:rPr>
          <w:rFonts w:ascii="Times New Roman" w:eastAsia="標楷體" w:hAnsi="Times New Roman" w:cs="Times New Roman"/>
          <w:sz w:val="26"/>
          <w:szCs w:val="26"/>
        </w:rPr>
        <w:t>與國家發展，臺灣在民國</w:t>
      </w:r>
      <w:r w:rsidR="00D56549" w:rsidRPr="00CC5F9B">
        <w:rPr>
          <w:rFonts w:ascii="Times New Roman" w:eastAsia="標楷體" w:hAnsi="Times New Roman" w:cs="Times New Roman"/>
          <w:sz w:val="26"/>
          <w:szCs w:val="26"/>
        </w:rPr>
        <w:t>103</w:t>
      </w:r>
      <w:r w:rsidR="002A3C90">
        <w:rPr>
          <w:rFonts w:ascii="Times New Roman" w:eastAsia="標楷體" w:hAnsi="Times New Roman" w:cs="Times New Roman"/>
          <w:sz w:val="26"/>
          <w:szCs w:val="26"/>
        </w:rPr>
        <w:t>年</w:t>
      </w:r>
      <w:r w:rsidR="00186460" w:rsidRPr="00186460">
        <w:rPr>
          <w:rFonts w:ascii="Times New Roman" w:eastAsia="標楷體" w:hAnsi="Times New Roman" w:cs="Times New Roman" w:hint="eastAsia"/>
          <w:sz w:val="26"/>
          <w:szCs w:val="26"/>
        </w:rPr>
        <w:t>起實施</w:t>
      </w:r>
      <w:r w:rsidR="00186460">
        <w:rPr>
          <w:rFonts w:ascii="Times New Roman" w:eastAsia="標楷體" w:hAnsi="Times New Roman" w:cs="Times New Roman"/>
          <w:sz w:val="26"/>
          <w:szCs w:val="26"/>
        </w:rPr>
        <w:t>十二年國民基本教育</w:t>
      </w:r>
      <w:bookmarkStart w:id="0" w:name="_GoBack"/>
      <w:bookmarkEnd w:id="0"/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，但對於</w:t>
      </w:r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1984</w:t>
      </w:r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年起即受各方</w:t>
      </w:r>
      <w:r w:rsidR="001B235F" w:rsidRPr="00CC5F9B">
        <w:rPr>
          <w:rFonts w:ascii="Times New Roman" w:eastAsia="標楷體" w:hAnsi="Times New Roman" w:cs="Times New Roman"/>
          <w:sz w:val="26"/>
          <w:szCs w:val="26"/>
        </w:rPr>
        <w:t>倡議</w:t>
      </w:r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之「國教向下延伸」，卻</w:t>
      </w:r>
      <w:r w:rsidR="00012CAE" w:rsidRPr="00CC5F9B">
        <w:rPr>
          <w:rFonts w:ascii="Times New Roman" w:eastAsia="標楷體" w:hAnsi="Times New Roman" w:cs="Times New Roman"/>
          <w:sz w:val="26"/>
          <w:szCs w:val="26"/>
        </w:rPr>
        <w:t>較</w:t>
      </w:r>
      <w:r w:rsidR="00B0748F" w:rsidRPr="00CC5F9B">
        <w:rPr>
          <w:rFonts w:ascii="Times New Roman" w:eastAsia="標楷體" w:hAnsi="Times New Roman" w:cs="Times New Roman"/>
          <w:sz w:val="26"/>
          <w:szCs w:val="26"/>
        </w:rPr>
        <w:t>無積極動作。</w:t>
      </w:r>
      <w:r w:rsidR="00517F6C" w:rsidRPr="00CC5F9B">
        <w:rPr>
          <w:rFonts w:ascii="Times New Roman" w:eastAsia="標楷體" w:hAnsi="Times New Roman" w:cs="Times New Roman"/>
          <w:sz w:val="26"/>
          <w:szCs w:val="26"/>
        </w:rPr>
        <w:t>國教向下延伸，五歲幼兒教育</w:t>
      </w:r>
      <w:proofErr w:type="gramStart"/>
      <w:r w:rsidR="00517F6C" w:rsidRPr="00CC5F9B">
        <w:rPr>
          <w:rFonts w:ascii="Times New Roman" w:eastAsia="標楷體" w:hAnsi="Times New Roman" w:cs="Times New Roman"/>
          <w:sz w:val="26"/>
          <w:szCs w:val="26"/>
        </w:rPr>
        <w:t>義務化其主要</w:t>
      </w:r>
      <w:proofErr w:type="gramEnd"/>
      <w:r w:rsidR="00517F6C" w:rsidRPr="00CC5F9B">
        <w:rPr>
          <w:rFonts w:ascii="Times New Roman" w:eastAsia="標楷體" w:hAnsi="Times New Roman" w:cs="Times New Roman"/>
          <w:sz w:val="26"/>
          <w:szCs w:val="26"/>
        </w:rPr>
        <w:t>理由如下：</w:t>
      </w:r>
    </w:p>
    <w:p w:rsidR="00A337FC" w:rsidRPr="00CC5F9B" w:rsidRDefault="00A337FC" w:rsidP="00CC5F9B">
      <w:pPr>
        <w:ind w:left="142" w:firstLine="338"/>
        <w:jc w:val="both"/>
        <w:rPr>
          <w:rFonts w:ascii="Times New Roman" w:eastAsia="標楷體" w:hAnsi="Times New Roman" w:cs="Times New Roman"/>
        </w:rPr>
      </w:pPr>
    </w:p>
    <w:p w:rsidR="00A337FC" w:rsidRPr="00CC5F9B" w:rsidRDefault="00A337FC" w:rsidP="00CC5F9B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C5F9B">
        <w:rPr>
          <w:rFonts w:ascii="Times New Roman" w:eastAsia="標楷體" w:hAnsi="Times New Roman" w:cs="Times New Roman"/>
          <w:b/>
          <w:sz w:val="28"/>
          <w:szCs w:val="28"/>
        </w:rPr>
        <w:t>幼兒教育對個人及</w:t>
      </w:r>
      <w:proofErr w:type="gramStart"/>
      <w:r w:rsidRPr="00CC5F9B">
        <w:rPr>
          <w:rFonts w:ascii="Times New Roman" w:eastAsia="標楷體" w:hAnsi="Times New Roman" w:cs="Times New Roman"/>
          <w:b/>
          <w:sz w:val="28"/>
          <w:szCs w:val="28"/>
        </w:rPr>
        <w:t>社會均為高</w:t>
      </w:r>
      <w:proofErr w:type="gramEnd"/>
      <w:r w:rsidRPr="00CC5F9B">
        <w:rPr>
          <w:rFonts w:ascii="Times New Roman" w:eastAsia="標楷體" w:hAnsi="Times New Roman" w:cs="Times New Roman"/>
          <w:b/>
          <w:sz w:val="28"/>
          <w:szCs w:val="28"/>
        </w:rPr>
        <w:t>報酬率之投資</w:t>
      </w:r>
    </w:p>
    <w:p w:rsidR="00A337FC" w:rsidRPr="00CC5F9B" w:rsidRDefault="00A337FC" w:rsidP="00CC5F9B">
      <w:pPr>
        <w:ind w:firstLine="480"/>
        <w:jc w:val="both"/>
        <w:rPr>
          <w:rFonts w:ascii="Times New Roman" w:eastAsia="標楷體" w:hAnsi="Times New Roman" w:cs="Times New Roman"/>
          <w:color w:val="454342"/>
          <w:sz w:val="26"/>
          <w:szCs w:val="26"/>
          <w:shd w:val="clear" w:color="auto" w:fill="F4F3F6"/>
        </w:rPr>
      </w:pPr>
      <w:r w:rsidRPr="00CC5F9B">
        <w:rPr>
          <w:rFonts w:ascii="Times New Roman" w:eastAsia="標楷體" w:hAnsi="Times New Roman" w:cs="Times New Roman"/>
          <w:sz w:val="26"/>
          <w:szCs w:val="26"/>
        </w:rPr>
        <w:t>美國芝加哥大學人類發展經濟學家，諾貝爾經濟學獎得主</w:t>
      </w:r>
      <w:r w:rsidRPr="00CC5F9B">
        <w:rPr>
          <w:rFonts w:ascii="Times New Roman" w:eastAsia="標楷體" w:hAnsi="Times New Roman" w:cs="Times New Roman"/>
          <w:sz w:val="26"/>
          <w:szCs w:val="26"/>
        </w:rPr>
        <w:t>James Heckman</w:t>
      </w:r>
      <w:r w:rsidRPr="00CC5F9B">
        <w:rPr>
          <w:rFonts w:ascii="Times New Roman" w:eastAsia="標楷體" w:hAnsi="Times New Roman" w:cs="Times New Roman"/>
          <w:sz w:val="26"/>
          <w:szCs w:val="26"/>
        </w:rPr>
        <w:t>指出，想要降低赤字、振興經濟者，應該要重視對幼兒教育的投資。美國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 xml:space="preserve">Perry Preschool 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方案顯示早期投入幼兒教育，每年可以有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7-10%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的回報率，因為幼兒教育除了可以提升學校與生涯的成就外，可以降低補救教學、健康</w:t>
      </w:r>
      <w:r w:rsidR="008641FC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照顧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、犯罪矯正</w:t>
      </w:r>
      <w:r w:rsidR="008641FC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等社會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成本。另一篇關於初學者計畫</w:t>
      </w:r>
      <w:r w:rsidR="008641FC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 xml:space="preserve"> 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(Carolina Abecedarian Project)</w:t>
      </w:r>
      <w:r w:rsidR="008641FC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 xml:space="preserve"> </w:t>
      </w:r>
      <w:r w:rsidR="008641FC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的評鑑研究，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則顯示每人每年回報率達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13%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。早期介入，提供高品質的</w:t>
      </w:r>
      <w:r w:rsidR="00773DE9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幼兒</w:t>
      </w:r>
      <w:r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教育，是高附加價值的投資。</w:t>
      </w:r>
      <w:r w:rsidR="003A07C3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整體來說，越早投資，經濟回報越高</w:t>
      </w:r>
      <w:r w:rsidR="00493DDA" w:rsidRPr="00CC5F9B">
        <w:rPr>
          <w:rStyle w:val="ab"/>
          <w:rFonts w:ascii="Times New Roman" w:eastAsia="標楷體" w:hAnsi="Times New Roman" w:cs="Times New Roman"/>
          <w:color w:val="454342"/>
          <w:sz w:val="26"/>
          <w:szCs w:val="26"/>
        </w:rPr>
        <w:footnoteReference w:id="1"/>
      </w:r>
      <w:r w:rsidR="003A07C3" w:rsidRPr="00CC5F9B">
        <w:rPr>
          <w:rFonts w:ascii="Times New Roman" w:eastAsia="標楷體" w:hAnsi="Times New Roman" w:cs="Times New Roman"/>
          <w:color w:val="454342"/>
          <w:sz w:val="26"/>
          <w:szCs w:val="26"/>
        </w:rPr>
        <w:t>。</w:t>
      </w:r>
    </w:p>
    <w:p w:rsidR="00A337FC" w:rsidRPr="00CC5F9B" w:rsidRDefault="00A337FC" w:rsidP="00CC5F9B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</w:p>
    <w:p w:rsidR="00A337FC" w:rsidRPr="00CC5F9B" w:rsidRDefault="00A337FC" w:rsidP="00CC5F9B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C5F9B">
        <w:rPr>
          <w:rFonts w:ascii="Times New Roman" w:eastAsia="標楷體" w:hAnsi="Times New Roman" w:cs="Times New Roman"/>
          <w:sz w:val="26"/>
          <w:szCs w:val="26"/>
        </w:rPr>
        <w:t>兒童早期經驗與學習，為個人終身發展奠下良好的基礎，除了認知技能</w:t>
      </w:r>
      <w:r w:rsidRPr="00CC5F9B">
        <w:rPr>
          <w:rFonts w:ascii="Times New Roman" w:eastAsia="標楷體" w:hAnsi="Times New Roman" w:cs="Times New Roman"/>
          <w:sz w:val="26"/>
          <w:szCs w:val="26"/>
        </w:rPr>
        <w:t>(cognitive skill)</w:t>
      </w:r>
      <w:r w:rsidRPr="00CC5F9B">
        <w:rPr>
          <w:rFonts w:ascii="Times New Roman" w:eastAsia="標楷體" w:hAnsi="Times New Roman" w:cs="Times New Roman"/>
          <w:sz w:val="26"/>
          <w:szCs w:val="26"/>
        </w:rPr>
        <w:t>外，對個人成功有重要影響的非認知技能</w:t>
      </w:r>
      <w:r w:rsidRPr="00CC5F9B">
        <w:rPr>
          <w:rFonts w:ascii="Times New Roman" w:eastAsia="標楷體" w:hAnsi="Times New Roman" w:cs="Times New Roman"/>
          <w:sz w:val="26"/>
          <w:szCs w:val="26"/>
        </w:rPr>
        <w:t>(non-cognitive skill)</w:t>
      </w:r>
      <w:r w:rsidRPr="00CC5F9B">
        <w:rPr>
          <w:rFonts w:ascii="Times New Roman" w:eastAsia="標楷體" w:hAnsi="Times New Roman" w:cs="Times New Roman"/>
          <w:sz w:val="26"/>
          <w:szCs w:val="26"/>
        </w:rPr>
        <w:t>，例如態度、習慣、社會技能等，以及健康、品格等重要發展基礎，在幼兒時期的養成，更影響人一生。由經濟學的角度來看，要降低赤字，</w:t>
      </w:r>
      <w:r w:rsidR="008641FC" w:rsidRPr="00CC5F9B">
        <w:rPr>
          <w:rFonts w:ascii="Times New Roman" w:eastAsia="標楷體" w:hAnsi="Times New Roman" w:cs="Times New Roman"/>
          <w:sz w:val="26"/>
          <w:szCs w:val="26"/>
        </w:rPr>
        <w:t>不論是</w:t>
      </w:r>
      <w:r w:rsidRPr="00CC5F9B">
        <w:rPr>
          <w:rFonts w:ascii="Times New Roman" w:eastAsia="標楷體" w:hAnsi="Times New Roman" w:cs="Times New Roman"/>
          <w:sz w:val="26"/>
          <w:szCs w:val="26"/>
        </w:rPr>
        <w:t>公共</w:t>
      </w:r>
      <w:r w:rsidR="008641FC" w:rsidRPr="00CC5F9B">
        <w:rPr>
          <w:rFonts w:ascii="Times New Roman" w:eastAsia="標楷體" w:hAnsi="Times New Roman" w:cs="Times New Roman"/>
          <w:sz w:val="26"/>
          <w:szCs w:val="26"/>
        </w:rPr>
        <w:t>或</w:t>
      </w:r>
      <w:r w:rsidRPr="00CC5F9B">
        <w:rPr>
          <w:rFonts w:ascii="Times New Roman" w:eastAsia="標楷體" w:hAnsi="Times New Roman" w:cs="Times New Roman"/>
          <w:sz w:val="26"/>
          <w:szCs w:val="26"/>
        </w:rPr>
        <w:t>私人資源，都要能做有效的投資，而有效的投資就是教育。</w:t>
      </w:r>
    </w:p>
    <w:p w:rsidR="00A337FC" w:rsidRPr="00CC5F9B" w:rsidRDefault="00A337FC" w:rsidP="00CC5F9B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239B8" w:rsidRPr="00CC5F9B" w:rsidRDefault="009239B8" w:rsidP="00CC5F9B">
      <w:pPr>
        <w:pStyle w:val="a3"/>
        <w:numPr>
          <w:ilvl w:val="0"/>
          <w:numId w:val="1"/>
        </w:numPr>
        <w:ind w:leftChars="0" w:hanging="62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C5F9B">
        <w:rPr>
          <w:rFonts w:ascii="Times New Roman" w:eastAsia="標楷體" w:hAnsi="Times New Roman" w:cs="Times New Roman"/>
          <w:b/>
          <w:sz w:val="28"/>
          <w:szCs w:val="28"/>
        </w:rPr>
        <w:t>五歲幼兒教育義務化是未來趨勢</w:t>
      </w:r>
    </w:p>
    <w:p w:rsidR="0026145C" w:rsidRPr="00CC5F9B" w:rsidRDefault="00CC5F9B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根據教育部的資料，目前辦理五歲幼兒教育義務化的國家包括</w:t>
      </w:r>
      <w:r w:rsidR="00A337FC" w:rsidRPr="00CC5F9B">
        <w:rPr>
          <w:rFonts w:ascii="Times New Roman" w:eastAsia="標楷體" w:hAnsi="Times New Roman" w:cs="Times New Roman"/>
          <w:sz w:val="26"/>
          <w:szCs w:val="26"/>
        </w:rPr>
        <w:t>英國、荷蘭、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菲律賓、越南、阿根廷；四歲幼兒教育義務化的則有巴西、瑞士。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2017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年臺灣每人國內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人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均生產毛額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(GDP per capita)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為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24,028</w:t>
      </w:r>
      <w:r w:rsidR="009239B8" w:rsidRPr="00CC5F9B">
        <w:rPr>
          <w:rFonts w:ascii="Times New Roman" w:eastAsia="標楷體" w:hAnsi="Times New Roman" w:cs="Times New Roman"/>
          <w:sz w:val="26"/>
          <w:szCs w:val="26"/>
        </w:rPr>
        <w:t>美金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，是越南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($2306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元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)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的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10.4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倍，菲律賓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($3102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元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)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的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7.7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倍以上，如果連開發中國家都辦理五歲幼兒教育義務化，</w:t>
      </w:r>
      <w:r w:rsidR="008641FC" w:rsidRPr="00CC5F9B">
        <w:rPr>
          <w:rFonts w:ascii="Times New Roman" w:eastAsia="標楷體" w:hAnsi="Times New Roman" w:cs="Times New Roman"/>
          <w:sz w:val="26"/>
          <w:szCs w:val="26"/>
        </w:rPr>
        <w:t>邁入已開發國家之林的</w:t>
      </w:r>
      <w:r w:rsidR="0026145C" w:rsidRPr="00CC5F9B">
        <w:rPr>
          <w:rFonts w:ascii="Times New Roman" w:eastAsia="標楷體" w:hAnsi="Times New Roman" w:cs="Times New Roman"/>
          <w:sz w:val="26"/>
          <w:szCs w:val="26"/>
        </w:rPr>
        <w:t>臺灣沒有理由不重視這項個人與社會經濟投資的有效利器。</w:t>
      </w:r>
    </w:p>
    <w:p w:rsidR="000D7D86" w:rsidRPr="00CC5F9B" w:rsidRDefault="000D7D86" w:rsidP="00CC5F9B">
      <w:pPr>
        <w:jc w:val="both"/>
        <w:rPr>
          <w:rFonts w:ascii="Times New Roman" w:eastAsia="標楷體" w:hAnsi="Times New Roman" w:cs="Times New Roman"/>
        </w:rPr>
      </w:pPr>
    </w:p>
    <w:p w:rsidR="00434AB3" w:rsidRPr="00CC5F9B" w:rsidRDefault="001C3AB4" w:rsidP="00CC5F9B">
      <w:pPr>
        <w:pStyle w:val="a3"/>
        <w:numPr>
          <w:ilvl w:val="0"/>
          <w:numId w:val="1"/>
        </w:numPr>
        <w:ind w:leftChars="0" w:hanging="62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C5F9B">
        <w:rPr>
          <w:rFonts w:ascii="Times New Roman" w:eastAsia="標楷體" w:hAnsi="Times New Roman" w:cs="Times New Roman"/>
          <w:b/>
          <w:sz w:val="28"/>
          <w:szCs w:val="28"/>
        </w:rPr>
        <w:t>幼兒教育</w:t>
      </w:r>
      <w:r w:rsidR="0083532F" w:rsidRPr="00CC5F9B">
        <w:rPr>
          <w:rFonts w:ascii="Times New Roman" w:eastAsia="標楷體" w:hAnsi="Times New Roman" w:cs="Times New Roman"/>
          <w:b/>
          <w:sz w:val="28"/>
          <w:szCs w:val="28"/>
        </w:rPr>
        <w:t>能有效協助</w:t>
      </w:r>
      <w:r w:rsidR="006557A5" w:rsidRPr="00CC5F9B">
        <w:rPr>
          <w:rFonts w:ascii="Times New Roman" w:eastAsia="標楷體" w:hAnsi="Times New Roman" w:cs="Times New Roman"/>
          <w:b/>
          <w:sz w:val="28"/>
          <w:szCs w:val="28"/>
        </w:rPr>
        <w:t>高風險</w:t>
      </w:r>
      <w:r w:rsidR="0083532F" w:rsidRPr="00CC5F9B">
        <w:rPr>
          <w:rFonts w:ascii="Times New Roman" w:eastAsia="標楷體" w:hAnsi="Times New Roman" w:cs="Times New Roman"/>
          <w:b/>
          <w:sz w:val="28"/>
          <w:szCs w:val="28"/>
        </w:rPr>
        <w:t>、家庭不利等弱勢學生</w:t>
      </w:r>
    </w:p>
    <w:p w:rsidR="00F5298F" w:rsidRPr="00CC5F9B" w:rsidRDefault="001B235F" w:rsidP="00CC5F9B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C5F9B">
        <w:rPr>
          <w:rFonts w:ascii="Times New Roman" w:eastAsia="標楷體" w:hAnsi="Times New Roman" w:cs="Times New Roman"/>
          <w:sz w:val="26"/>
          <w:szCs w:val="26"/>
        </w:rPr>
        <w:t>Heckman</w:t>
      </w:r>
      <w:r w:rsidRPr="00CC5F9B">
        <w:rPr>
          <w:rFonts w:ascii="Times New Roman" w:eastAsia="標楷體" w:hAnsi="Times New Roman" w:cs="Times New Roman"/>
          <w:sz w:val="26"/>
          <w:szCs w:val="26"/>
        </w:rPr>
        <w:t>的研究發現越早投資幼兒教育，尤其是投資在不利</w:t>
      </w:r>
      <w:r w:rsidR="00A02E74" w:rsidRPr="00CC5F9B">
        <w:rPr>
          <w:rFonts w:ascii="Times New Roman" w:eastAsia="標楷體" w:hAnsi="Times New Roman" w:cs="Times New Roman"/>
          <w:sz w:val="26"/>
          <w:szCs w:val="26"/>
        </w:rPr>
        <w:t>或高風險</w:t>
      </w:r>
      <w:r w:rsidRPr="00CC5F9B">
        <w:rPr>
          <w:rFonts w:ascii="Times New Roman" w:eastAsia="標楷體" w:hAnsi="Times New Roman" w:cs="Times New Roman"/>
          <w:sz w:val="26"/>
          <w:szCs w:val="26"/>
        </w:rPr>
        <w:t>家庭幼兒身上，投資報酬率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最高</w:t>
      </w:r>
      <w:r w:rsidRPr="00CC5F9B">
        <w:rPr>
          <w:rFonts w:ascii="Times New Roman" w:eastAsia="標楷體" w:hAnsi="Times New Roman" w:cs="Times New Roman"/>
          <w:sz w:val="26"/>
          <w:szCs w:val="26"/>
        </w:rPr>
        <w:t>。出生在經濟或文化不利</w:t>
      </w:r>
      <w:r w:rsidR="00A02E74" w:rsidRPr="00CC5F9B">
        <w:rPr>
          <w:rFonts w:ascii="Times New Roman" w:eastAsia="標楷體" w:hAnsi="Times New Roman" w:cs="Times New Roman"/>
          <w:sz w:val="26"/>
          <w:szCs w:val="26"/>
        </w:rPr>
        <w:t>，或是高風險</w:t>
      </w:r>
      <w:r w:rsidRPr="00CC5F9B">
        <w:rPr>
          <w:rFonts w:ascii="Times New Roman" w:eastAsia="標楷體" w:hAnsi="Times New Roman" w:cs="Times New Roman"/>
          <w:sz w:val="26"/>
          <w:szCs w:val="26"/>
        </w:rPr>
        <w:t>家庭的兒童</w:t>
      </w:r>
      <w:r w:rsidR="0039420F" w:rsidRPr="00CC5F9B">
        <w:rPr>
          <w:rFonts w:ascii="Times New Roman" w:eastAsia="標楷體" w:hAnsi="Times New Roman" w:cs="Times New Roman"/>
          <w:sz w:val="26"/>
          <w:szCs w:val="26"/>
        </w:rPr>
        <w:t>，在學校學習的過程中，</w:t>
      </w:r>
      <w:r w:rsidRPr="00CC5F9B">
        <w:rPr>
          <w:rFonts w:ascii="Times New Roman" w:eastAsia="標楷體" w:hAnsi="Times New Roman" w:cs="Times New Roman"/>
          <w:sz w:val="26"/>
          <w:szCs w:val="26"/>
        </w:rPr>
        <w:t>學習的不利如滾雪球般，積重難返，</w:t>
      </w:r>
      <w:r w:rsidR="00F5298F" w:rsidRPr="00CC5F9B">
        <w:rPr>
          <w:rFonts w:ascii="Times New Roman" w:eastAsia="標楷體" w:hAnsi="Times New Roman" w:cs="Times New Roman"/>
          <w:sz w:val="26"/>
          <w:szCs w:val="26"/>
        </w:rPr>
        <w:t>常常成為學習的失敗者，並引發健康與行為問題，進入社會後，更成為社會福利或社會矯正的沉重負擔。</w:t>
      </w:r>
      <w:r w:rsidR="003A07C3" w:rsidRPr="00CC5F9B">
        <w:rPr>
          <w:rFonts w:ascii="Times New Roman" w:eastAsia="標楷體" w:hAnsi="Times New Roman" w:cs="Times New Roman"/>
          <w:sz w:val="26"/>
          <w:szCs w:val="26"/>
        </w:rPr>
        <w:t>2012</w:t>
      </w:r>
      <w:r w:rsidR="00E16689" w:rsidRPr="00CC5F9B">
        <w:rPr>
          <w:rFonts w:ascii="Times New Roman" w:eastAsia="標楷體" w:hAnsi="Times New Roman" w:cs="Times New Roman"/>
          <w:sz w:val="26"/>
          <w:szCs w:val="26"/>
        </w:rPr>
        <w:t xml:space="preserve"> PISA</w:t>
      </w:r>
      <w:r w:rsidR="00E16689" w:rsidRPr="00CC5F9B">
        <w:rPr>
          <w:rFonts w:ascii="Times New Roman" w:eastAsia="標楷體" w:hAnsi="Times New Roman" w:cs="Times New Roman"/>
          <w:sz w:val="26"/>
          <w:szCs w:val="26"/>
        </w:rPr>
        <w:t>數學</w:t>
      </w:r>
      <w:r w:rsidR="003A07C3" w:rsidRPr="00CC5F9B">
        <w:rPr>
          <w:rFonts w:ascii="Times New Roman" w:eastAsia="標楷體" w:hAnsi="Times New Roman" w:cs="Times New Roman"/>
          <w:sz w:val="26"/>
          <w:szCs w:val="26"/>
        </w:rPr>
        <w:t>國際評比的資料顯示，臺灣整體平均</w:t>
      </w:r>
      <w:r w:rsidR="008641FC" w:rsidRPr="00CC5F9B">
        <w:rPr>
          <w:rFonts w:ascii="Times New Roman" w:eastAsia="標楷體" w:hAnsi="Times New Roman" w:cs="Times New Roman"/>
          <w:sz w:val="26"/>
          <w:szCs w:val="26"/>
        </w:rPr>
        <w:t>分數</w:t>
      </w:r>
      <w:r w:rsidR="003A07C3" w:rsidRPr="00CC5F9B">
        <w:rPr>
          <w:rFonts w:ascii="Times New Roman" w:eastAsia="標楷體" w:hAnsi="Times New Roman" w:cs="Times New Roman"/>
          <w:sz w:val="26"/>
          <w:szCs w:val="26"/>
        </w:rPr>
        <w:t>高</w:t>
      </w:r>
      <w:r w:rsidR="00E16689" w:rsidRPr="00CC5F9B">
        <w:rPr>
          <w:rFonts w:ascii="Times New Roman" w:eastAsia="標楷體" w:hAnsi="Times New Roman" w:cs="Times New Roman"/>
          <w:sz w:val="26"/>
          <w:szCs w:val="26"/>
        </w:rPr>
        <w:t>，但</w:t>
      </w:r>
      <w:r w:rsidR="006462BB" w:rsidRPr="00CC5F9B">
        <w:rPr>
          <w:rFonts w:ascii="Times New Roman" w:eastAsia="標楷體" w:hAnsi="Times New Roman" w:cs="Times New Roman"/>
          <w:sz w:val="26"/>
          <w:szCs w:val="26"/>
        </w:rPr>
        <w:t>學生落後的比例卻比其他國家高</w:t>
      </w:r>
      <w:r w:rsidR="00E16689" w:rsidRPr="00CC5F9B">
        <w:rPr>
          <w:rFonts w:ascii="Times New Roman" w:eastAsia="標楷體" w:hAnsi="Times New Roman" w:cs="Times New Roman"/>
          <w:sz w:val="26"/>
          <w:szCs w:val="26"/>
        </w:rPr>
        <w:t>，低分群的學生「放棄到了極致」</w:t>
      </w:r>
      <w:r w:rsidR="00E16689" w:rsidRPr="00CC5F9B">
        <w:rPr>
          <w:rStyle w:val="ab"/>
          <w:rFonts w:ascii="Times New Roman" w:eastAsia="標楷體" w:hAnsi="Times New Roman" w:cs="Times New Roman"/>
          <w:sz w:val="26"/>
          <w:szCs w:val="26"/>
        </w:rPr>
        <w:footnoteReference w:id="2"/>
      </w:r>
      <w:r w:rsidR="00E16689" w:rsidRPr="00CC5F9B">
        <w:rPr>
          <w:rFonts w:ascii="Times New Roman" w:eastAsia="標楷體" w:hAnsi="Times New Roman" w:cs="Times New Roman"/>
          <w:sz w:val="26"/>
          <w:szCs w:val="26"/>
        </w:rPr>
        <w:t>，其原因很多，但未能即早彌補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其學習不利的情況，致上學後挫折連連，</w:t>
      </w:r>
      <w:r w:rsidR="004B5137" w:rsidRPr="00CC5F9B">
        <w:rPr>
          <w:rFonts w:ascii="Times New Roman" w:eastAsia="標楷體" w:hAnsi="Times New Roman" w:cs="Times New Roman"/>
          <w:sz w:val="26"/>
          <w:szCs w:val="26"/>
        </w:rPr>
        <w:t>常常</w:t>
      </w:r>
      <w:r w:rsidR="008641FC" w:rsidRPr="00CC5F9B">
        <w:rPr>
          <w:rFonts w:ascii="Times New Roman" w:eastAsia="標楷體" w:hAnsi="Times New Roman" w:cs="Times New Roman"/>
          <w:sz w:val="26"/>
          <w:szCs w:val="26"/>
        </w:rPr>
        <w:t>一路輸到底，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應為重要原因。</w:t>
      </w:r>
    </w:p>
    <w:p w:rsidR="003A07C3" w:rsidRPr="00CC5F9B" w:rsidRDefault="003A07C3" w:rsidP="00CC5F9B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3532F" w:rsidRPr="00CC5F9B" w:rsidRDefault="00F5298F" w:rsidP="00CC5F9B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C5F9B">
        <w:rPr>
          <w:rFonts w:ascii="Times New Roman" w:eastAsia="標楷體" w:hAnsi="Times New Roman" w:cs="Times New Roman"/>
          <w:sz w:val="26"/>
          <w:szCs w:val="26"/>
        </w:rPr>
        <w:t>政府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每年</w:t>
      </w:r>
      <w:r w:rsidRPr="00CC5F9B">
        <w:rPr>
          <w:rFonts w:ascii="Times New Roman" w:eastAsia="標楷體" w:hAnsi="Times New Roman" w:cs="Times New Roman"/>
          <w:sz w:val="26"/>
          <w:szCs w:val="26"/>
        </w:rPr>
        <w:t>雖投入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十多億</w:t>
      </w:r>
      <w:r w:rsidRPr="00CC5F9B">
        <w:rPr>
          <w:rFonts w:ascii="Times New Roman" w:eastAsia="標楷體" w:hAnsi="Times New Roman" w:cs="Times New Roman"/>
          <w:sz w:val="26"/>
          <w:szCs w:val="26"/>
        </w:rPr>
        <w:t>經費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，以及大量人力</w:t>
      </w:r>
      <w:r w:rsidRPr="00CC5F9B">
        <w:rPr>
          <w:rFonts w:ascii="Times New Roman" w:eastAsia="標楷體" w:hAnsi="Times New Roman" w:cs="Times New Roman"/>
          <w:sz w:val="26"/>
          <w:szCs w:val="26"/>
        </w:rPr>
        <w:t>辦理補救教</w:t>
      </w:r>
      <w:r w:rsidR="00F31C92" w:rsidRPr="00CC5F9B">
        <w:rPr>
          <w:rFonts w:ascii="Times New Roman" w:eastAsia="標楷體" w:hAnsi="Times New Roman" w:cs="Times New Roman"/>
          <w:sz w:val="26"/>
          <w:szCs w:val="26"/>
        </w:rPr>
        <w:t>學</w:t>
      </w:r>
      <w:r w:rsidR="00493DDA" w:rsidRPr="00CC5F9B">
        <w:rPr>
          <w:rFonts w:ascii="Times New Roman" w:eastAsia="標楷體" w:hAnsi="Times New Roman" w:cs="Times New Roman"/>
          <w:sz w:val="26"/>
          <w:szCs w:val="26"/>
        </w:rPr>
        <w:t>，但和投資早期幼兒教育相較，</w:t>
      </w:r>
      <w:r w:rsidR="006462BB" w:rsidRPr="00CC5F9B">
        <w:rPr>
          <w:rFonts w:ascii="Times New Roman" w:eastAsia="標楷體" w:hAnsi="Times New Roman" w:cs="Times New Roman"/>
          <w:sz w:val="26"/>
          <w:szCs w:val="26"/>
        </w:rPr>
        <w:t>恐</w:t>
      </w:r>
      <w:r w:rsidR="00493DDA" w:rsidRPr="00CC5F9B">
        <w:rPr>
          <w:rFonts w:ascii="Times New Roman" w:eastAsia="標楷體" w:hAnsi="Times New Roman" w:cs="Times New Roman"/>
          <w:sz w:val="26"/>
          <w:szCs w:val="26"/>
        </w:rPr>
        <w:t>事倍功半。</w:t>
      </w:r>
      <w:r w:rsidR="004B5137" w:rsidRPr="00CC5F9B">
        <w:rPr>
          <w:rFonts w:ascii="Times New Roman" w:eastAsia="標楷體" w:hAnsi="Times New Roman" w:cs="Times New Roman"/>
          <w:sz w:val="26"/>
          <w:szCs w:val="26"/>
        </w:rPr>
        <w:t>早期</w:t>
      </w:r>
      <w:r w:rsidR="00493DDA" w:rsidRPr="00CC5F9B">
        <w:rPr>
          <w:rFonts w:ascii="Times New Roman" w:eastAsia="標楷體" w:hAnsi="Times New Roman" w:cs="Times New Roman"/>
          <w:sz w:val="26"/>
          <w:szCs w:val="26"/>
        </w:rPr>
        <w:t>基礎不佳，</w:t>
      </w:r>
      <w:r w:rsidR="004B5137" w:rsidRPr="00CC5F9B">
        <w:rPr>
          <w:rFonts w:ascii="Times New Roman" w:eastAsia="標楷體" w:hAnsi="Times New Roman" w:cs="Times New Roman"/>
          <w:sz w:val="26"/>
          <w:szCs w:val="26"/>
        </w:rPr>
        <w:t>致後期</w:t>
      </w:r>
      <w:r w:rsidR="00493DDA" w:rsidRPr="00CC5F9B">
        <w:rPr>
          <w:rFonts w:ascii="Times New Roman" w:eastAsia="標楷體" w:hAnsi="Times New Roman" w:cs="Times New Roman"/>
          <w:sz w:val="26"/>
          <w:szCs w:val="26"/>
        </w:rPr>
        <w:t>學習動機與信心低落，</w:t>
      </w:r>
      <w:r w:rsidR="004B5137" w:rsidRPr="00CC5F9B">
        <w:rPr>
          <w:rFonts w:ascii="Times New Roman" w:eastAsia="標楷體" w:hAnsi="Times New Roman" w:cs="Times New Roman"/>
          <w:sz w:val="26"/>
          <w:szCs w:val="26"/>
        </w:rPr>
        <w:t>未能養成良好的</w:t>
      </w:r>
      <w:r w:rsidR="00493DDA" w:rsidRPr="00CC5F9B">
        <w:rPr>
          <w:rFonts w:ascii="Times New Roman" w:eastAsia="標楷體" w:hAnsi="Times New Roman" w:cs="Times New Roman"/>
          <w:sz w:val="26"/>
          <w:szCs w:val="26"/>
        </w:rPr>
        <w:t>學習習慣與技巧，常使得補救教學</w:t>
      </w:r>
      <w:r w:rsidR="006462BB" w:rsidRPr="00CC5F9B">
        <w:rPr>
          <w:rFonts w:ascii="Times New Roman" w:eastAsia="標楷體" w:hAnsi="Times New Roman" w:cs="Times New Roman"/>
          <w:sz w:val="26"/>
          <w:szCs w:val="26"/>
        </w:rPr>
        <w:t>成效欠佳</w:t>
      </w:r>
      <w:r w:rsidR="001B235F" w:rsidRPr="00CC5F9B">
        <w:rPr>
          <w:rFonts w:ascii="Times New Roman" w:eastAsia="標楷體" w:hAnsi="Times New Roman" w:cs="Times New Roman"/>
          <w:sz w:val="26"/>
          <w:szCs w:val="26"/>
        </w:rPr>
        <w:t>。</w:t>
      </w:r>
      <w:r w:rsidRPr="00CC5F9B">
        <w:rPr>
          <w:rFonts w:ascii="Times New Roman" w:eastAsia="標楷體" w:hAnsi="Times New Roman" w:cs="Times New Roman"/>
          <w:sz w:val="26"/>
          <w:szCs w:val="26"/>
        </w:rPr>
        <w:t>若要事半功倍</w:t>
      </w:r>
      <w:r w:rsidR="006462BB" w:rsidRPr="00CC5F9B">
        <w:rPr>
          <w:rFonts w:ascii="Times New Roman" w:eastAsia="標楷體" w:hAnsi="Times New Roman" w:cs="Times New Roman"/>
          <w:sz w:val="26"/>
          <w:szCs w:val="26"/>
        </w:rPr>
        <w:t>的縮短學習差距</w:t>
      </w:r>
      <w:r w:rsidRPr="00CC5F9B">
        <w:rPr>
          <w:rFonts w:ascii="Times New Roman" w:eastAsia="標楷體" w:hAnsi="Times New Roman" w:cs="Times New Roman"/>
          <w:sz w:val="26"/>
          <w:szCs w:val="26"/>
        </w:rPr>
        <w:t>，即早介入才是良方，花的越早，省得越多。</w:t>
      </w:r>
    </w:p>
    <w:p w:rsidR="00AA7F0D" w:rsidRPr="00CC5F9B" w:rsidRDefault="00AA7F0D" w:rsidP="00CC5F9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37C5D" w:rsidRPr="00CC5F9B" w:rsidRDefault="00991E67" w:rsidP="00CC5F9B">
      <w:pPr>
        <w:pStyle w:val="a3"/>
        <w:numPr>
          <w:ilvl w:val="0"/>
          <w:numId w:val="1"/>
        </w:numPr>
        <w:ind w:leftChars="0" w:hanging="62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C5F9B">
        <w:rPr>
          <w:rFonts w:ascii="Times New Roman" w:eastAsia="標楷體" w:hAnsi="Times New Roman" w:cs="Times New Roman"/>
          <w:b/>
          <w:sz w:val="28"/>
          <w:szCs w:val="28"/>
        </w:rPr>
        <w:t>五歲幼兒教育</w:t>
      </w:r>
      <w:r w:rsidR="00137C5D" w:rsidRPr="00CC5F9B">
        <w:rPr>
          <w:rFonts w:ascii="Times New Roman" w:eastAsia="標楷體" w:hAnsi="Times New Roman" w:cs="Times New Roman"/>
          <w:b/>
          <w:sz w:val="28"/>
          <w:szCs w:val="28"/>
        </w:rPr>
        <w:t>義務化能確保幼兒教育品質，創造良性競爭空間</w:t>
      </w:r>
    </w:p>
    <w:p w:rsidR="00595111" w:rsidRPr="00CC5F9B" w:rsidRDefault="00E14B9A" w:rsidP="00E14B9A">
      <w:pPr>
        <w:ind w:left="14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137C5D" w:rsidRPr="00CC5F9B">
        <w:rPr>
          <w:rFonts w:ascii="Times New Roman" w:eastAsia="標楷體" w:hAnsi="Times New Roman" w:cs="Times New Roman"/>
          <w:sz w:val="26"/>
          <w:szCs w:val="26"/>
        </w:rPr>
        <w:t>Heckman</w:t>
      </w:r>
      <w:r w:rsidR="00137C5D" w:rsidRPr="00CC5F9B">
        <w:rPr>
          <w:rFonts w:ascii="Times New Roman" w:eastAsia="標楷體" w:hAnsi="Times New Roman" w:cs="Times New Roman"/>
          <w:sz w:val="26"/>
          <w:szCs w:val="26"/>
        </w:rPr>
        <w:t>提醒我們，</w:t>
      </w:r>
      <w:r w:rsidR="004B5137" w:rsidRPr="00CC5F9B">
        <w:rPr>
          <w:rFonts w:ascii="Times New Roman" w:eastAsia="標楷體" w:hAnsi="Times New Roman" w:cs="Times New Roman"/>
          <w:sz w:val="26"/>
          <w:szCs w:val="26"/>
        </w:rPr>
        <w:t>光是</w:t>
      </w:r>
      <w:r w:rsidR="0024375B" w:rsidRPr="00CC5F9B">
        <w:rPr>
          <w:rFonts w:ascii="Times New Roman" w:eastAsia="標楷體" w:hAnsi="Times New Roman" w:cs="Times New Roman"/>
          <w:sz w:val="26"/>
          <w:szCs w:val="26"/>
        </w:rPr>
        <w:t>提</w:t>
      </w:r>
      <w:r w:rsidR="00137C5D" w:rsidRPr="00CC5F9B">
        <w:rPr>
          <w:rFonts w:ascii="Times New Roman" w:eastAsia="標楷體" w:hAnsi="Times New Roman" w:cs="Times New Roman"/>
          <w:sz w:val="26"/>
          <w:szCs w:val="26"/>
        </w:rPr>
        <w:t>供幼兒教育並不夠</w:t>
      </w:r>
      <w:r w:rsidR="0024375B" w:rsidRPr="00CC5F9B">
        <w:rPr>
          <w:rFonts w:ascii="Times New Roman" w:eastAsia="標楷體" w:hAnsi="Times New Roman" w:cs="Times New Roman"/>
          <w:sz w:val="26"/>
          <w:szCs w:val="26"/>
        </w:rPr>
        <w:t>，提供有品質的幼兒教育才能達成高回報率的教育投資。五歲幼兒教育</w:t>
      </w:r>
      <w:r w:rsidR="00F5298F" w:rsidRPr="00CC5F9B">
        <w:rPr>
          <w:rFonts w:ascii="Times New Roman" w:eastAsia="標楷體" w:hAnsi="Times New Roman" w:cs="Times New Roman"/>
          <w:sz w:val="26"/>
          <w:szCs w:val="26"/>
        </w:rPr>
        <w:t>義務化能確保就學品質，由政府與專業人士確保學生不只是受到幼兒教育，而且是受到品質良好的幼兒教育。</w:t>
      </w:r>
      <w:r w:rsidR="00991E67" w:rsidRPr="00CC5F9B">
        <w:rPr>
          <w:rFonts w:ascii="Times New Roman" w:eastAsia="標楷體" w:hAnsi="Times New Roman" w:cs="Times New Roman"/>
          <w:sz w:val="26"/>
          <w:szCs w:val="26"/>
        </w:rPr>
        <w:t>由師資面、課程面、環境面做整體品質確保，讓好的幼</w:t>
      </w:r>
      <w:r w:rsidR="00E34BA3" w:rsidRPr="00CC5F9B">
        <w:rPr>
          <w:rFonts w:ascii="Times New Roman" w:eastAsia="標楷體" w:hAnsi="Times New Roman" w:cs="Times New Roman"/>
          <w:sz w:val="26"/>
          <w:szCs w:val="26"/>
        </w:rPr>
        <w:t>兒教育向下延伸</w:t>
      </w:r>
      <w:r w:rsidR="00773DE9" w:rsidRPr="00CC5F9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95111" w:rsidRPr="00CC5F9B" w:rsidRDefault="00595111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5298F" w:rsidRDefault="00E14B9A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95111" w:rsidRPr="00CC5F9B">
        <w:rPr>
          <w:rFonts w:ascii="Times New Roman" w:eastAsia="標楷體" w:hAnsi="Times New Roman" w:cs="Times New Roman"/>
          <w:sz w:val="26"/>
          <w:szCs w:val="26"/>
        </w:rPr>
        <w:t>2017</w:t>
      </w:r>
      <w:r w:rsidR="00595111" w:rsidRPr="00CC5F9B">
        <w:rPr>
          <w:rFonts w:ascii="Times New Roman" w:eastAsia="標楷體" w:hAnsi="Times New Roman" w:cs="Times New Roman"/>
          <w:sz w:val="26"/>
          <w:szCs w:val="26"/>
        </w:rPr>
        <w:t>年的政府統計數據顯示，有</w:t>
      </w:r>
      <w:r w:rsidR="00595111" w:rsidRPr="00CC5F9B">
        <w:rPr>
          <w:rFonts w:ascii="Times New Roman" w:eastAsia="標楷體" w:hAnsi="Times New Roman" w:cs="Times New Roman"/>
          <w:sz w:val="26"/>
          <w:szCs w:val="26"/>
        </w:rPr>
        <w:t>71%</w:t>
      </w:r>
      <w:r w:rsidR="00595111" w:rsidRPr="00CC5F9B">
        <w:rPr>
          <w:rFonts w:ascii="Times New Roman" w:eastAsia="標楷體" w:hAnsi="Times New Roman" w:cs="Times New Roman"/>
          <w:sz w:val="26"/>
          <w:szCs w:val="26"/>
        </w:rPr>
        <w:t>的幼兒就讀私立幼兒園，五歲幼兒教育義務化推動後，私立幼兒園必然具有一定的</w:t>
      </w:r>
      <w:r w:rsidR="006462BB" w:rsidRPr="00CC5F9B">
        <w:rPr>
          <w:rFonts w:ascii="Times New Roman" w:eastAsia="標楷體" w:hAnsi="Times New Roman" w:cs="Times New Roman"/>
          <w:sz w:val="26"/>
          <w:szCs w:val="26"/>
        </w:rPr>
        <w:t>角色，</w:t>
      </w:r>
      <w:r w:rsidR="00595111" w:rsidRPr="00CC5F9B">
        <w:rPr>
          <w:rFonts w:ascii="Times New Roman" w:eastAsia="標楷體" w:hAnsi="Times New Roman" w:cs="Times New Roman"/>
          <w:sz w:val="26"/>
          <w:szCs w:val="26"/>
        </w:rPr>
        <w:t>透過多元競爭，可以讓整體幼兒教育的品質提升。</w:t>
      </w: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Pr="00FB2A72" w:rsidRDefault="00FB2A72" w:rsidP="00CC5F9B">
      <w:pPr>
        <w:ind w:left="142" w:firstLine="338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</w:p>
    <w:p w:rsidR="00FB2A72" w:rsidRPr="00ED47CC" w:rsidRDefault="00FB2A72" w:rsidP="00FB2A72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D47CC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實施五歲幼兒教育義務化的困難與問題為何？</w:t>
      </w:r>
    </w:p>
    <w:p w:rsidR="00FB2A72" w:rsidRPr="00ED47CC" w:rsidRDefault="00FB2A72" w:rsidP="00FB2A72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</w:rPr>
        <w:t>陳美芳</w:t>
      </w:r>
    </w:p>
    <w:p w:rsidR="00FB2A72" w:rsidRPr="00ED47CC" w:rsidRDefault="00FB2A72" w:rsidP="00FB2A72">
      <w:pPr>
        <w:spacing w:afterLines="50" w:after="180" w:line="50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國立臺</w:t>
      </w:r>
      <w:r w:rsidRPr="00ED47CC">
        <w:rPr>
          <w:rFonts w:ascii="Times New Roman" w:eastAsia="標楷體" w:hAnsi="Times New Roman" w:cs="Times New Roman"/>
        </w:rPr>
        <w:t>灣師範大學特殊教育系教授</w:t>
      </w:r>
    </w:p>
    <w:p w:rsidR="00FB2A72" w:rsidRPr="00ED47CC" w:rsidRDefault="00FB2A72" w:rsidP="00FB2A72">
      <w:pPr>
        <w:ind w:firstLineChars="236" w:firstLine="61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本文參考政府部門統計資料，由幼兒入園率、幼兒園教師數量、公立幼兒園數量與分布、家庭育兒支出等向度，檢視政府對幼兒教育</w:t>
      </w:r>
      <w:proofErr w:type="gramStart"/>
      <w:r w:rsidRPr="00ED47CC">
        <w:rPr>
          <w:rFonts w:ascii="Times New Roman" w:eastAsia="標楷體" w:hAnsi="Times New Roman" w:cs="Times New Roman"/>
          <w:sz w:val="26"/>
          <w:szCs w:val="26"/>
        </w:rPr>
        <w:t>採</w:t>
      </w:r>
      <w:proofErr w:type="gramEnd"/>
      <w:r w:rsidRPr="00ED47CC">
        <w:rPr>
          <w:rFonts w:ascii="Times New Roman" w:eastAsia="標楷體" w:hAnsi="Times New Roman" w:cs="Times New Roman"/>
          <w:sz w:val="26"/>
          <w:szCs w:val="26"/>
        </w:rPr>
        <w:t>經費補助的成效，並提出實施五歲幼兒教育義務化的困難與問題。</w:t>
      </w:r>
    </w:p>
    <w:p w:rsidR="00FB2A72" w:rsidRPr="00ED47CC" w:rsidRDefault="00FB2A72" w:rsidP="00FB2A72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幼兒園辦學品質參差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106</w:t>
      </w:r>
      <w:r w:rsidRPr="00ED47CC">
        <w:rPr>
          <w:rFonts w:ascii="Times New Roman" w:eastAsia="標楷體" w:hAnsi="Times New Roman" w:cs="Times New Roman"/>
          <w:sz w:val="26"/>
          <w:szCs w:val="26"/>
        </w:rPr>
        <w:t>學年就讀公立與私立幼兒園人數比例約為</w:t>
      </w:r>
      <w:r w:rsidRPr="00ED47CC">
        <w:rPr>
          <w:rFonts w:ascii="Times New Roman" w:eastAsia="標楷體" w:hAnsi="Times New Roman" w:cs="Times New Roman"/>
          <w:sz w:val="26"/>
          <w:szCs w:val="26"/>
        </w:rPr>
        <w:t>3:7</w:t>
      </w:r>
      <w:r w:rsidRPr="00ED47CC">
        <w:rPr>
          <w:rFonts w:ascii="Times New Roman" w:eastAsia="標楷體" w:hAnsi="Times New Roman" w:cs="Times New Roman"/>
          <w:sz w:val="26"/>
          <w:szCs w:val="26"/>
        </w:rPr>
        <w:t>，私立幼兒園辦學品質對台灣幼兒教育影響甚</w:t>
      </w:r>
      <w:proofErr w:type="gramStart"/>
      <w:r w:rsidRPr="00ED47CC">
        <w:rPr>
          <w:rFonts w:ascii="Times New Roman" w:eastAsia="標楷體" w:hAnsi="Times New Roman" w:cs="Times New Roman"/>
          <w:sz w:val="26"/>
          <w:szCs w:val="26"/>
        </w:rPr>
        <w:t>鉅</w:t>
      </w:r>
      <w:proofErr w:type="gramEnd"/>
      <w:r w:rsidRPr="00ED47CC">
        <w:rPr>
          <w:rFonts w:ascii="Times New Roman" w:eastAsia="標楷體" w:hAnsi="Times New Roman" w:cs="Times New Roman"/>
          <w:sz w:val="26"/>
          <w:szCs w:val="26"/>
        </w:rPr>
        <w:t>。近六年，公立幼兒園教師數逐年增加，但私立幼兒園教師數卻逐年減少，私立幼兒園</w:t>
      </w:r>
      <w:proofErr w:type="gramStart"/>
      <w:r w:rsidRPr="00ED47CC">
        <w:rPr>
          <w:rFonts w:ascii="Times New Roman" w:eastAsia="標楷體" w:hAnsi="Times New Roman" w:cs="Times New Roman"/>
          <w:sz w:val="26"/>
          <w:szCs w:val="26"/>
        </w:rPr>
        <w:t>生師比</w:t>
      </w:r>
      <w:proofErr w:type="gramEnd"/>
      <w:r w:rsidRPr="00ED47CC">
        <w:rPr>
          <w:rFonts w:ascii="Times New Roman" w:eastAsia="標楷體" w:hAnsi="Times New Roman" w:cs="Times New Roman"/>
          <w:sz w:val="26"/>
          <w:szCs w:val="26"/>
        </w:rPr>
        <w:t>逐年攀高。教師是影響教育品質的樞紐，台灣幼兒園品質參差由此可見。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政府應訂定幼兒教育義務化的時程表，積極作為，才是解決幼兒園品質落差的最佳方法。此也與近八成民眾贊同「現在就是實施五歲幼兒教育義務化政策適當時機」、約七成民眾認為「實施五歲幼兒教育義務化政策，有助減少公、私立幼兒園辦學品質落差」的期待相符。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(</w:t>
      </w:r>
      <w:r w:rsidRPr="00ED47CC">
        <w:rPr>
          <w:rFonts w:ascii="Times New Roman" w:eastAsia="標楷體" w:hAnsi="Times New Roman" w:cs="Times New Roman"/>
          <w:sz w:val="26"/>
          <w:szCs w:val="26"/>
        </w:rPr>
        <w:t>參考資料：附錄，編號</w:t>
      </w:r>
      <w:r w:rsidRPr="00ED47CC">
        <w:rPr>
          <w:rFonts w:ascii="Times New Roman" w:eastAsia="標楷體" w:hAnsi="Times New Roman" w:cs="Times New Roman"/>
          <w:sz w:val="26"/>
          <w:szCs w:val="26"/>
        </w:rPr>
        <w:t>1-4)</w:t>
      </w:r>
    </w:p>
    <w:p w:rsidR="00FB2A72" w:rsidRPr="00ED47CC" w:rsidRDefault="00FB2A72" w:rsidP="00FB2A72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公立幼兒園嚴重數量不足且分布不均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公立幼兒園數量不足，年紀越輕的幼兒入公幼的機會越少。以</w:t>
      </w:r>
      <w:r w:rsidRPr="00ED47CC">
        <w:rPr>
          <w:rFonts w:ascii="Times New Roman" w:eastAsia="標楷體" w:hAnsi="Times New Roman" w:cs="Times New Roman"/>
          <w:sz w:val="26"/>
          <w:szCs w:val="26"/>
        </w:rPr>
        <w:t>106</w:t>
      </w:r>
      <w:r w:rsidRPr="00ED47CC">
        <w:rPr>
          <w:rFonts w:ascii="Times New Roman" w:eastAsia="標楷體" w:hAnsi="Times New Roman" w:cs="Times New Roman"/>
          <w:sz w:val="26"/>
          <w:szCs w:val="26"/>
        </w:rPr>
        <w:t>學年為例，公立幼兒園入園率，</w:t>
      </w:r>
      <w:r w:rsidRPr="00ED47CC">
        <w:rPr>
          <w:rFonts w:ascii="Times New Roman" w:eastAsia="標楷體" w:hAnsi="Times New Roman" w:cs="Times New Roman"/>
          <w:sz w:val="26"/>
          <w:szCs w:val="26"/>
        </w:rPr>
        <w:t>5-6</w:t>
      </w:r>
      <w:r w:rsidRPr="00ED47CC">
        <w:rPr>
          <w:rFonts w:ascii="Times New Roman" w:eastAsia="標楷體" w:hAnsi="Times New Roman" w:cs="Times New Roman"/>
          <w:sz w:val="26"/>
          <w:szCs w:val="26"/>
        </w:rPr>
        <w:t>歲為</w:t>
      </w:r>
      <w:r w:rsidRPr="00ED47CC">
        <w:rPr>
          <w:rFonts w:ascii="Times New Roman" w:eastAsia="標楷體" w:hAnsi="Times New Roman" w:cs="Times New Roman"/>
          <w:sz w:val="26"/>
          <w:szCs w:val="26"/>
        </w:rPr>
        <w:t>32.2%</w:t>
      </w:r>
      <w:r w:rsidRPr="00ED47CC">
        <w:rPr>
          <w:rFonts w:ascii="Times New Roman" w:eastAsia="標楷體" w:hAnsi="Times New Roman" w:cs="Times New Roman"/>
          <w:sz w:val="26"/>
          <w:szCs w:val="26"/>
        </w:rPr>
        <w:t>、</w:t>
      </w:r>
      <w:r w:rsidRPr="00ED47CC">
        <w:rPr>
          <w:rFonts w:ascii="Times New Roman" w:eastAsia="標楷體" w:hAnsi="Times New Roman" w:cs="Times New Roman"/>
          <w:sz w:val="26"/>
          <w:szCs w:val="26"/>
        </w:rPr>
        <w:t>4-5</w:t>
      </w:r>
      <w:r w:rsidRPr="00ED47CC">
        <w:rPr>
          <w:rFonts w:ascii="Times New Roman" w:eastAsia="標楷體" w:hAnsi="Times New Roman" w:cs="Times New Roman"/>
          <w:sz w:val="26"/>
          <w:szCs w:val="26"/>
        </w:rPr>
        <w:t>歲為</w:t>
      </w:r>
      <w:r w:rsidRPr="00ED47CC">
        <w:rPr>
          <w:rFonts w:ascii="Times New Roman" w:eastAsia="標楷體" w:hAnsi="Times New Roman" w:cs="Times New Roman"/>
          <w:sz w:val="26"/>
          <w:szCs w:val="26"/>
        </w:rPr>
        <w:t>22.2%</w:t>
      </w:r>
      <w:r w:rsidRPr="00ED47CC">
        <w:rPr>
          <w:rFonts w:ascii="Times New Roman" w:eastAsia="標楷體" w:hAnsi="Times New Roman" w:cs="Times New Roman"/>
          <w:sz w:val="26"/>
          <w:szCs w:val="26"/>
        </w:rPr>
        <w:t>、</w:t>
      </w:r>
      <w:r w:rsidRPr="00ED47CC">
        <w:rPr>
          <w:rFonts w:ascii="Times New Roman" w:eastAsia="標楷體" w:hAnsi="Times New Roman" w:cs="Times New Roman"/>
          <w:sz w:val="26"/>
          <w:szCs w:val="26"/>
        </w:rPr>
        <w:t>3-4</w:t>
      </w:r>
      <w:r w:rsidRPr="00ED47CC">
        <w:rPr>
          <w:rFonts w:ascii="Times New Roman" w:eastAsia="標楷體" w:hAnsi="Times New Roman" w:cs="Times New Roman"/>
          <w:sz w:val="26"/>
          <w:szCs w:val="26"/>
        </w:rPr>
        <w:t>歲為</w:t>
      </w:r>
      <w:r w:rsidRPr="00ED47CC">
        <w:rPr>
          <w:rFonts w:ascii="Times New Roman" w:eastAsia="標楷體" w:hAnsi="Times New Roman" w:cs="Times New Roman"/>
          <w:sz w:val="26"/>
          <w:szCs w:val="26"/>
        </w:rPr>
        <w:t>10.5</w:t>
      </w:r>
      <w:r w:rsidRPr="00ED47CC">
        <w:rPr>
          <w:rFonts w:ascii="Times New Roman" w:eastAsia="標楷體" w:hAnsi="Times New Roman" w:cs="Times New Roman"/>
          <w:sz w:val="26"/>
          <w:szCs w:val="26"/>
        </w:rPr>
        <w:t>。公立幼兒園分布</w:t>
      </w:r>
      <w:proofErr w:type="gramStart"/>
      <w:r w:rsidRPr="00ED47CC">
        <w:rPr>
          <w:rFonts w:ascii="Times New Roman" w:eastAsia="標楷體" w:hAnsi="Times New Roman" w:cs="Times New Roman"/>
          <w:sz w:val="26"/>
          <w:szCs w:val="26"/>
        </w:rPr>
        <w:t>不均的現象</w:t>
      </w:r>
      <w:proofErr w:type="gramEnd"/>
      <w:r w:rsidRPr="00ED47CC">
        <w:rPr>
          <w:rFonts w:ascii="Times New Roman" w:eastAsia="標楷體" w:hAnsi="Times New Roman" w:cs="Times New Roman"/>
          <w:sz w:val="26"/>
          <w:szCs w:val="26"/>
        </w:rPr>
        <w:t>很嚴重，許多地區，家長希望幼兒能就近入公幼就讀的期待，是難以實現的美夢。</w:t>
      </w:r>
      <w:r w:rsidRPr="00ED47C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D47CC">
        <w:rPr>
          <w:rFonts w:ascii="Times New Roman" w:eastAsia="標楷體" w:hAnsi="Times New Roman" w:cs="Times New Roman"/>
          <w:sz w:val="26"/>
          <w:szCs w:val="26"/>
        </w:rPr>
        <w:t xml:space="preserve">　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調查顯示，如果政府實施五歲幼兒教育義務化，有</w:t>
      </w:r>
      <w:r w:rsidRPr="00ED47CC">
        <w:rPr>
          <w:rFonts w:ascii="Times New Roman" w:eastAsia="標楷體" w:hAnsi="Times New Roman" w:cs="Times New Roman"/>
          <w:sz w:val="26"/>
          <w:szCs w:val="26"/>
        </w:rPr>
        <w:t>45.5%</w:t>
      </w:r>
      <w:r w:rsidRPr="00ED47CC">
        <w:rPr>
          <w:rFonts w:ascii="Times New Roman" w:eastAsia="標楷體" w:hAnsi="Times New Roman" w:cs="Times New Roman"/>
          <w:sz w:val="26"/>
          <w:szCs w:val="26"/>
        </w:rPr>
        <w:t>的民眾認為家長比較喜歡選擇公立幼兒園，</w:t>
      </w:r>
      <w:r w:rsidRPr="00ED47CC">
        <w:rPr>
          <w:rFonts w:ascii="Times New Roman" w:eastAsia="標楷體" w:hAnsi="Times New Roman" w:cs="Times New Roman"/>
          <w:sz w:val="26"/>
          <w:szCs w:val="26"/>
        </w:rPr>
        <w:t>7.5%</w:t>
      </w:r>
      <w:r w:rsidRPr="00ED47CC">
        <w:rPr>
          <w:rFonts w:ascii="Times New Roman" w:eastAsia="標楷體" w:hAnsi="Times New Roman" w:cs="Times New Roman"/>
          <w:sz w:val="26"/>
          <w:szCs w:val="26"/>
        </w:rPr>
        <w:t>為私立幼兒園，兩者比例懸殊。要回應民眾對幼兒教育的需求與期待，廣設公立幼兒園，是政府不容迴避的問題。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(</w:t>
      </w:r>
      <w:r w:rsidRPr="00ED47CC">
        <w:rPr>
          <w:rFonts w:ascii="Times New Roman" w:eastAsia="標楷體" w:hAnsi="Times New Roman" w:cs="Times New Roman"/>
          <w:sz w:val="26"/>
          <w:szCs w:val="26"/>
        </w:rPr>
        <w:t>參考資料：附錄，編號</w:t>
      </w:r>
      <w:r w:rsidRPr="00ED47CC">
        <w:rPr>
          <w:rFonts w:ascii="Times New Roman" w:eastAsia="標楷體" w:hAnsi="Times New Roman" w:cs="Times New Roman"/>
          <w:sz w:val="26"/>
          <w:szCs w:val="26"/>
        </w:rPr>
        <w:t>5-6)</w:t>
      </w:r>
    </w:p>
    <w:p w:rsidR="00FB2A72" w:rsidRPr="00ED47CC" w:rsidRDefault="00FB2A72" w:rsidP="00FB2A72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幼兒園收費逐年攀升、家庭負擔沉重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政府實施幼兒學費補助的政策後，私立幼兒園收費持續攀升，家長經濟負擔仍然沉重。本次調查顯示，受訪民眾認為「政府補助五歲幼兒讀幼兒園有助提升私立幼兒園品質」的比例不到半數，顯示民眾對政府經費補</w:t>
      </w:r>
      <w:r w:rsidRPr="00ED47CC">
        <w:rPr>
          <w:rFonts w:ascii="Times New Roman" w:eastAsia="標楷體" w:hAnsi="Times New Roman" w:cs="Times New Roman"/>
          <w:sz w:val="26"/>
          <w:szCs w:val="26"/>
        </w:rPr>
        <w:lastRenderedPageBreak/>
        <w:t>助政策也無信心。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調查顯示，為實施五歲幼兒教育義務化政策，約八成受訪民眾認為政府應該優先處理幼兒園收費</w:t>
      </w:r>
      <w:proofErr w:type="gramStart"/>
      <w:r w:rsidRPr="00ED47CC">
        <w:rPr>
          <w:rFonts w:ascii="Times New Roman" w:eastAsia="標楷體" w:hAnsi="Times New Roman" w:cs="Times New Roman"/>
          <w:sz w:val="26"/>
          <w:szCs w:val="26"/>
        </w:rPr>
        <w:t>不均的問題</w:t>
      </w:r>
      <w:proofErr w:type="gramEnd"/>
      <w:r w:rsidRPr="00ED47CC">
        <w:rPr>
          <w:rFonts w:ascii="Times New Roman" w:eastAsia="標楷體" w:hAnsi="Times New Roman" w:cs="Times New Roman"/>
          <w:sz w:val="26"/>
          <w:szCs w:val="26"/>
        </w:rPr>
        <w:t>。在公幼尚未能普設的階段，如何制訂私立幼兒園的合理收費標準，確實減輕家長經濟負擔，是政府亟待解決的幼兒教育問題。</w:t>
      </w:r>
    </w:p>
    <w:p w:rsidR="00FB2A72" w:rsidRPr="00ED47CC" w:rsidRDefault="00FB2A72" w:rsidP="00FB2A72">
      <w:pPr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(</w:t>
      </w:r>
      <w:r w:rsidRPr="00ED47CC">
        <w:rPr>
          <w:rFonts w:ascii="Times New Roman" w:eastAsia="標楷體" w:hAnsi="Times New Roman" w:cs="Times New Roman"/>
          <w:sz w:val="26"/>
          <w:szCs w:val="26"/>
        </w:rPr>
        <w:t>參考資料：附錄，編號</w:t>
      </w:r>
      <w:r w:rsidRPr="00ED47CC">
        <w:rPr>
          <w:rFonts w:ascii="Times New Roman" w:eastAsia="標楷體" w:hAnsi="Times New Roman" w:cs="Times New Roman"/>
          <w:sz w:val="26"/>
          <w:szCs w:val="26"/>
        </w:rPr>
        <w:t>7)</w:t>
      </w:r>
    </w:p>
    <w:p w:rsidR="00FB2A72" w:rsidRPr="00ED47CC" w:rsidRDefault="00FB2A72" w:rsidP="00FB2A72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私立幼兒園反彈的阻力</w:t>
      </w:r>
    </w:p>
    <w:p w:rsidR="00FB2A72" w:rsidRPr="00ED47CC" w:rsidRDefault="00FB2A72" w:rsidP="00FB2A72">
      <w:pPr>
        <w:widowControl/>
        <w:ind w:firstLineChars="177" w:firstLine="4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D47CC">
        <w:rPr>
          <w:rFonts w:ascii="Times New Roman" w:eastAsia="標楷體" w:hAnsi="Times New Roman" w:cs="Times New Roman"/>
          <w:sz w:val="26"/>
          <w:szCs w:val="26"/>
        </w:rPr>
        <w:t>五歲幼兒教育義務化，涉及私立幼兒園權益，恐引起私立幼兒園反彈。五歲幼兒教育納入國民教育後，對師資與課程將有審核檢驗機制，私立幼兒園未符合要求者，可能失去辦理五歲幼兒教育的資格。本次調查有七成受訪者認為實施五歲幼兒教育義務化政策，可能引發私立幼兒園反對。政府如何面對私立幼兒園的反彈、如何維護優質私立幼兒園的權益，是政府實施五歲幼兒教育義務化政策，必須同步思考的問題。</w:t>
      </w:r>
    </w:p>
    <w:p w:rsidR="00FB2A72" w:rsidRPr="00ED47CC" w:rsidRDefault="00FB2A72" w:rsidP="00FB2A72">
      <w:pPr>
        <w:widowControl/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</w:rPr>
        <w:br w:type="page"/>
      </w:r>
    </w:p>
    <w:p w:rsidR="00FB2A72" w:rsidRPr="00ED47CC" w:rsidRDefault="00FB2A72" w:rsidP="00FB2A72">
      <w:pPr>
        <w:pStyle w:val="ae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D47CC">
        <w:rPr>
          <w:rFonts w:ascii="Times New Roman" w:eastAsia="標楷體" w:hAnsi="Times New Roman" w:cs="Times New Roman"/>
          <w:sz w:val="32"/>
          <w:szCs w:val="32"/>
        </w:rPr>
        <w:lastRenderedPageBreak/>
        <w:t>【附錄】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 w:hint="eastAsia"/>
        </w:rPr>
      </w:pP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1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10543639" wp14:editId="09B0DA9D">
            <wp:extent cx="4898190" cy="2755131"/>
            <wp:effectExtent l="19050" t="19050" r="17145" b="266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8976" cy="276119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2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60BF6B76" wp14:editId="2A8A7113">
            <wp:extent cx="4965628" cy="2793064"/>
            <wp:effectExtent l="19050" t="19050" r="26035" b="266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876" cy="28292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Pr="00ED47CC" w:rsidRDefault="00FB2A72" w:rsidP="00FB2A72">
      <w:pPr>
        <w:widowControl/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</w:rPr>
        <w:br w:type="page"/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3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1C20AC43" wp14:editId="2C7D4F52">
            <wp:extent cx="5000864" cy="2812883"/>
            <wp:effectExtent l="19050" t="19050" r="9525" b="260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585" cy="281835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4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5E58D37B" wp14:editId="10B5F598">
            <wp:extent cx="5082139" cy="2864478"/>
            <wp:effectExtent l="0" t="0" r="444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8" cy="2885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A72" w:rsidRPr="00ED47CC" w:rsidRDefault="00FB2A72" w:rsidP="00D847FB">
      <w:pPr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</w:rPr>
        <w:br w:type="page"/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編號</w:t>
      </w:r>
      <w:r w:rsidRPr="00ED47CC">
        <w:rPr>
          <w:rFonts w:ascii="Times New Roman" w:eastAsia="標楷體" w:hAnsi="Times New Roman" w:cs="Times New Roman"/>
        </w:rPr>
        <w:t>：</w:t>
      </w:r>
      <w:r w:rsidRPr="00ED47CC">
        <w:rPr>
          <w:rFonts w:ascii="Times New Roman" w:eastAsia="標楷體" w:hAnsi="Times New Roman" w:cs="Times New Roman"/>
        </w:rPr>
        <w:t>5</w:t>
      </w: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2F9B8EE1" wp14:editId="7DC50C3A">
            <wp:extent cx="4910846" cy="2762250"/>
            <wp:effectExtent l="19050" t="19050" r="23495" b="190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7565" cy="27716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6</w:t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0B72F9A5" wp14:editId="54DFEA0F">
            <wp:extent cx="4910455" cy="2762355"/>
            <wp:effectExtent l="19050" t="19050" r="23495" b="190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17" cy="278230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Pr="00ED47CC" w:rsidRDefault="00FB2A72" w:rsidP="00FB2A72">
      <w:pPr>
        <w:widowControl/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</w:rPr>
        <w:br w:type="page"/>
      </w: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D47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編號：</w:t>
      </w:r>
      <w:r w:rsidRPr="00ED47CC">
        <w:rPr>
          <w:rFonts w:ascii="Times New Roman" w:eastAsia="標楷體" w:hAnsi="Times New Roman" w:cs="Times New Roman"/>
          <w:b/>
          <w:sz w:val="28"/>
          <w:szCs w:val="28"/>
        </w:rPr>
        <w:t>7</w:t>
      </w: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  <w:r w:rsidRPr="00ED47CC">
        <w:rPr>
          <w:rFonts w:ascii="Times New Roman" w:eastAsia="標楷體" w:hAnsi="Times New Roman" w:cs="Times New Roman"/>
          <w:noProof/>
          <w:lang w:eastAsia="zh-CN"/>
        </w:rPr>
        <w:drawing>
          <wp:inline distT="0" distB="0" distL="0" distR="0" wp14:anchorId="2D23275A" wp14:editId="38A982BC">
            <wp:extent cx="5012277" cy="2819634"/>
            <wp:effectExtent l="19050" t="19050" r="17145" b="190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664" cy="28282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Default="00FB2A72" w:rsidP="00FB2A72">
      <w:pPr>
        <w:jc w:val="both"/>
        <w:rPr>
          <w:rFonts w:ascii="Times New Roman" w:eastAsia="標楷體" w:hAnsi="Times New Roman" w:cs="Times New Roman"/>
        </w:rPr>
      </w:pPr>
    </w:p>
    <w:p w:rsidR="00FB2A72" w:rsidRPr="00ED47CC" w:rsidRDefault="00FB2A72" w:rsidP="00FB2A72">
      <w:pPr>
        <w:jc w:val="both"/>
        <w:rPr>
          <w:rFonts w:ascii="Times New Roman" w:eastAsia="標楷體" w:hAnsi="Times New Roman" w:cs="Times New Roman" w:hint="eastAsia"/>
        </w:rPr>
      </w:pPr>
    </w:p>
    <w:p w:rsidR="00681BCD" w:rsidRDefault="00681BCD" w:rsidP="00CC5F9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Default="00FB2A72" w:rsidP="00CC5F9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B2A72" w:rsidRPr="00853DCD" w:rsidRDefault="00FB2A72" w:rsidP="00FB2A72">
      <w:pPr>
        <w:pStyle w:val="af2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53DCD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五歲幼兒教育義務化之具體作為</w:t>
      </w:r>
    </w:p>
    <w:p w:rsidR="00FB2A72" w:rsidRPr="005B2454" w:rsidRDefault="00FB2A72" w:rsidP="00FB2A72">
      <w:pPr>
        <w:pStyle w:val="af2"/>
        <w:jc w:val="center"/>
        <w:rPr>
          <w:rFonts w:ascii="Times New Roman" w:eastAsia="標楷體" w:hAnsi="Times New Roman" w:cs="Times New Roman"/>
          <w:szCs w:val="24"/>
        </w:rPr>
      </w:pPr>
      <w:r w:rsidRPr="005B2454">
        <w:rPr>
          <w:rFonts w:ascii="Times New Roman" w:eastAsia="標楷體" w:hAnsi="Times New Roman" w:cs="Times New Roman" w:hint="eastAsia"/>
          <w:szCs w:val="24"/>
        </w:rPr>
        <w:t>馮清皇</w:t>
      </w:r>
    </w:p>
    <w:p w:rsidR="00FB2A72" w:rsidRPr="005B2454" w:rsidRDefault="00FB2A72" w:rsidP="00FB2A72">
      <w:pPr>
        <w:pStyle w:val="af2"/>
        <w:jc w:val="center"/>
        <w:rPr>
          <w:rFonts w:ascii="Times New Roman" w:eastAsia="標楷體" w:hAnsi="Times New Roman" w:cs="Times New Roman"/>
          <w:szCs w:val="24"/>
        </w:rPr>
      </w:pPr>
      <w:r w:rsidRPr="005B2454">
        <w:rPr>
          <w:rFonts w:ascii="Times New Roman" w:eastAsia="標楷體" w:hAnsi="Times New Roman" w:cs="Times New Roman" w:hint="eastAsia"/>
          <w:szCs w:val="24"/>
        </w:rPr>
        <w:t>台北市政府教育局前任副局長</w:t>
      </w: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Cs w:val="24"/>
        </w:rPr>
      </w:pPr>
      <w:r w:rsidRPr="006C7D0A">
        <w:rPr>
          <w:rFonts w:ascii="Times New Roman" w:eastAsia="標楷體" w:hAnsi="Times New Roman" w:cs="Times New Roman"/>
          <w:sz w:val="28"/>
          <w:szCs w:val="28"/>
        </w:rPr>
        <w:t>一、</w:t>
      </w:r>
      <w:r w:rsidRPr="00105D92">
        <w:rPr>
          <w:rFonts w:ascii="Times New Roman" w:eastAsia="標楷體" w:hAnsi="Times New Roman" w:cs="Times New Roman"/>
          <w:b/>
          <w:sz w:val="28"/>
          <w:szCs w:val="28"/>
        </w:rPr>
        <w:t>善用學校剩餘教室，以廣增公立幼兒園</w:t>
      </w:r>
    </w:p>
    <w:p w:rsidR="00FB2A72" w:rsidRPr="00105D92" w:rsidRDefault="00FB2A72" w:rsidP="00FB2A72">
      <w:pPr>
        <w:pStyle w:val="af2"/>
        <w:ind w:firstLineChars="239" w:firstLine="621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t>依</w:t>
      </w:r>
      <w:r w:rsidRPr="00105D92">
        <w:rPr>
          <w:rFonts w:ascii="Times New Roman" w:eastAsia="標楷體" w:hAnsi="Times New Roman" w:cs="Times New Roman"/>
          <w:sz w:val="26"/>
          <w:szCs w:val="26"/>
        </w:rPr>
        <w:t>104-106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學年度幼兒園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入園數與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就讀公私立幼兒園比率之統計顯示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五歲幼兒能就讀公立幼兒園的機會，平均僅約</w:t>
      </w:r>
      <w:r w:rsidRPr="00105D92">
        <w:rPr>
          <w:rFonts w:ascii="Times New Roman" w:eastAsia="標楷體" w:hAnsi="Times New Roman" w:cs="Times New Roman"/>
          <w:sz w:val="26"/>
          <w:szCs w:val="26"/>
        </w:rPr>
        <w:t>33%(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詳如表</w:t>
      </w:r>
      <w:r w:rsidRPr="00105D92">
        <w:rPr>
          <w:rFonts w:ascii="Times New Roman" w:eastAsia="標楷體" w:hAnsi="Times New Roman" w:cs="Times New Roman"/>
          <w:sz w:val="26"/>
          <w:szCs w:val="26"/>
        </w:rPr>
        <w:t>1)</w:t>
      </w:r>
      <w:r w:rsidRPr="00105D92">
        <w:rPr>
          <w:rFonts w:ascii="Times New Roman" w:eastAsia="標楷體" w:hAnsi="Times New Roman" w:cs="Times New Roman"/>
          <w:sz w:val="26"/>
          <w:szCs w:val="26"/>
        </w:rPr>
        <w:t>，比率嚴重偏低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。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為達普設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公立幼兒園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以落實五歲幼兒教育義務化之具體目標，教育部除明令各縣市政府，應確實清查、了解各級學校因少子女化所釋出的空餘教室，以避免空餘教室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黑數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」</w:t>
      </w:r>
      <w:r w:rsidRPr="00105D92">
        <w:rPr>
          <w:rFonts w:ascii="Times New Roman" w:eastAsia="標楷體" w:hAnsi="Times New Roman" w:cs="Times New Roman"/>
          <w:sz w:val="26"/>
          <w:szCs w:val="26"/>
        </w:rPr>
        <w:t>的產生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並利用國中小、高中職這些空餘教室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配合五歲學童就學需要改設公立幼兒園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FB2A72" w:rsidRPr="00105D92" w:rsidRDefault="00FB2A72" w:rsidP="00FB2A72">
      <w:pPr>
        <w:pStyle w:val="af2"/>
        <w:ind w:firstLineChars="239" w:firstLine="621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此外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中央政府亦可透過各項獎補助方式，鼓勵各地方政府有效運用所轄閒置空間，增設公立幼兒園；或全面檢討都市計畫，廣設幼兒教育用地；或修改建築相關法規，明訂一定規模之新建大樓，應提供必要之幼兒園設置空間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FB2A72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  <w:r w:rsidRPr="006C7D0A">
        <w:rPr>
          <w:rFonts w:ascii="Times New Roman" w:eastAsia="標楷體" w:hAnsi="Times New Roman" w:cs="Times New Roman"/>
          <w:sz w:val="28"/>
          <w:szCs w:val="28"/>
        </w:rPr>
        <w:t>二、</w:t>
      </w:r>
      <w:r w:rsidRPr="00105D92">
        <w:rPr>
          <w:rFonts w:ascii="Times New Roman" w:eastAsia="標楷體" w:hAnsi="Times New Roman" w:cs="Times New Roman" w:hint="eastAsia"/>
          <w:b/>
          <w:sz w:val="28"/>
          <w:szCs w:val="28"/>
        </w:rPr>
        <w:t>遴</w:t>
      </w:r>
      <w:r w:rsidRPr="00105D92">
        <w:rPr>
          <w:rFonts w:ascii="Times New Roman" w:eastAsia="標楷體" w:hAnsi="Times New Roman" w:cs="Times New Roman"/>
          <w:b/>
          <w:sz w:val="28"/>
          <w:szCs w:val="28"/>
        </w:rPr>
        <w:t>選私立幼兒園</w:t>
      </w:r>
      <w:r w:rsidRPr="00105D92">
        <w:rPr>
          <w:rFonts w:ascii="Times New Roman" w:eastAsia="新細明體" w:hAnsi="Times New Roman" w:cs="Times New Roman"/>
          <w:b/>
          <w:sz w:val="28"/>
          <w:szCs w:val="28"/>
        </w:rPr>
        <w:t>，</w:t>
      </w:r>
      <w:r w:rsidRPr="00105D92">
        <w:rPr>
          <w:rFonts w:ascii="Times New Roman" w:eastAsia="標楷體" w:hAnsi="Times New Roman" w:cs="Times New Roman"/>
          <w:b/>
          <w:sz w:val="28"/>
          <w:szCs w:val="28"/>
        </w:rPr>
        <w:t>以作為「代用公立幼兒園」</w:t>
      </w:r>
    </w:p>
    <w:p w:rsidR="00FB2A72" w:rsidRPr="00105D92" w:rsidRDefault="00FB2A72" w:rsidP="00FB2A72">
      <w:pPr>
        <w:pStyle w:val="af2"/>
        <w:ind w:firstLineChars="239" w:firstLine="62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t>在推動五歲幼兒教育義務化政策初期，教育部與各縣市政府可藉由評鑑機制，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遴</w:t>
      </w:r>
      <w:r w:rsidRPr="00105D92">
        <w:rPr>
          <w:rFonts w:ascii="Times New Roman" w:eastAsia="標楷體" w:hAnsi="Times New Roman" w:cs="Times New Roman"/>
          <w:sz w:val="26"/>
          <w:szCs w:val="26"/>
        </w:rPr>
        <w:t>選辦學優良的私立幼兒園，以「代用公立幼兒園」的方式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來補實五歲幼兒就學之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所需</w:t>
      </w:r>
      <w:r w:rsidRPr="00105D9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FB2A72" w:rsidRPr="00105D92" w:rsidRDefault="00FB2A72" w:rsidP="00FB2A72">
      <w:pPr>
        <w:pStyle w:val="af2"/>
        <w:ind w:firstLineChars="239" w:firstLine="62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t>依黃昆輝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教授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教育基金會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「五歲幼兒教育義務化民意調查」</w:t>
      </w:r>
      <w:r w:rsidRPr="00105D92">
        <w:rPr>
          <w:rFonts w:ascii="Times New Roman" w:eastAsia="標楷體" w:hAnsi="Times New Roman" w:cs="Times New Roman"/>
          <w:sz w:val="26"/>
          <w:szCs w:val="26"/>
        </w:rPr>
        <w:t>結果顯示，有</w:t>
      </w:r>
      <w:r w:rsidRPr="00105D92">
        <w:rPr>
          <w:rFonts w:ascii="Times New Roman" w:eastAsia="標楷體" w:hAnsi="Times New Roman" w:cs="Times New Roman"/>
          <w:sz w:val="26"/>
          <w:szCs w:val="26"/>
        </w:rPr>
        <w:t>70.4%</w:t>
      </w:r>
      <w:r w:rsidRPr="00105D92">
        <w:rPr>
          <w:rFonts w:ascii="Times New Roman" w:eastAsia="標楷體" w:hAnsi="Times New Roman" w:cs="Times New Roman"/>
          <w:sz w:val="26"/>
          <w:szCs w:val="26"/>
        </w:rPr>
        <w:t>的受訪民眾認為政府要推動五歲幼兒教育義務化政策，將會引發私立幼兒園的強力反對。因此，若能將辦學優良的私立幼兒園加以納入考量，以「代用公立幼兒園」的方式，給予教育經費與教學資源的獎</w:t>
      </w:r>
      <w:r w:rsidRPr="00105D92">
        <w:rPr>
          <w:rFonts w:ascii="Times New Roman" w:eastAsia="標楷體" w:hAnsi="Times New Roman" w:cs="Times New Roman"/>
          <w:sz w:val="26"/>
          <w:szCs w:val="26"/>
        </w:rPr>
        <w:t>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補</w:t>
      </w:r>
      <w:r w:rsidRPr="00105D92">
        <w:rPr>
          <w:rFonts w:ascii="Times New Roman" w:eastAsia="標楷體" w:hAnsi="Times New Roman" w:cs="Times New Roman"/>
          <w:sz w:val="26"/>
          <w:szCs w:val="26"/>
        </w:rPr>
        <w:t>)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助，相信這不僅可營造公私立幼兒園的「雙贏、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共存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共好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」，同時也將因此減緩私立幼兒園反對的壓力，而加速五歲幼兒教育義務化之推動腳步。</w:t>
      </w:r>
    </w:p>
    <w:p w:rsidR="00FB2A72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</w:p>
    <w:p w:rsidR="00FB2A72" w:rsidRPr="00105D92" w:rsidRDefault="00FB2A72" w:rsidP="00FB2A72">
      <w:pPr>
        <w:pStyle w:val="af2"/>
        <w:rPr>
          <w:rFonts w:ascii="Times New Roman" w:eastAsia="標楷體" w:hAnsi="Times New Roman" w:cs="Times New Roman"/>
          <w:b/>
          <w:sz w:val="28"/>
          <w:szCs w:val="28"/>
        </w:rPr>
      </w:pPr>
      <w:r w:rsidRPr="006C7D0A">
        <w:rPr>
          <w:rFonts w:ascii="Times New Roman" w:eastAsia="標楷體" w:hAnsi="Times New Roman" w:cs="Times New Roman"/>
          <w:sz w:val="28"/>
          <w:szCs w:val="28"/>
        </w:rPr>
        <w:t>三、</w:t>
      </w:r>
      <w:r w:rsidRPr="00105D92">
        <w:rPr>
          <w:rFonts w:ascii="Times New Roman" w:eastAsia="標楷體" w:hAnsi="Times New Roman" w:cs="Times New Roman"/>
          <w:b/>
          <w:sz w:val="28"/>
          <w:szCs w:val="28"/>
        </w:rPr>
        <w:t>依法聘用合格教師，以確保幼教教學品質</w:t>
      </w:r>
    </w:p>
    <w:p w:rsidR="00FB2A72" w:rsidRPr="00105D92" w:rsidRDefault="00FB2A72" w:rsidP="00FB2A72">
      <w:pPr>
        <w:pStyle w:val="af2"/>
        <w:ind w:firstLineChars="221" w:firstLine="575"/>
        <w:jc w:val="both"/>
        <w:rPr>
          <w:rFonts w:ascii="新細明體" w:eastAsia="新細明體" w:hAnsi="新細明體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t>「教育良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窳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在教學，教學品質在師資」。為提供充足與確保全國各幼兒園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師資品質，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並落實幼兒園五歲班級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「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師一保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的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法令規定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教育部應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於公布五歲幼兒教育義務化政策時間表之後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全面推動實施之前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主動邀集並聯合各大學相關教育系所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有計畫性地檢討與</w:t>
      </w:r>
      <w:r w:rsidRPr="00105D92">
        <w:rPr>
          <w:rFonts w:ascii="Times New Roman" w:eastAsia="標楷體" w:hAnsi="Times New Roman" w:cs="Times New Roman"/>
          <w:sz w:val="26"/>
          <w:szCs w:val="26"/>
        </w:rPr>
        <w:t>開設教保員與幼兒教師培育課程</w:t>
      </w:r>
      <w:r w:rsidRPr="00105D92">
        <w:rPr>
          <w:rFonts w:ascii="Times New Roman" w:eastAsia="標楷體" w:hAnsi="Times New Roman" w:cs="Times New Roman"/>
          <w:sz w:val="26"/>
          <w:szCs w:val="26"/>
        </w:rPr>
        <w:t>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或學程</w:t>
      </w:r>
      <w:r w:rsidRPr="00105D92">
        <w:rPr>
          <w:rFonts w:ascii="Times New Roman" w:eastAsia="標楷體" w:hAnsi="Times New Roman" w:cs="Times New Roman"/>
          <w:sz w:val="26"/>
          <w:szCs w:val="26"/>
        </w:rPr>
        <w:t>)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並</w:t>
      </w:r>
      <w:r w:rsidRPr="00105D92">
        <w:rPr>
          <w:rFonts w:ascii="Times New Roman" w:eastAsia="標楷體" w:hAnsi="Times New Roman" w:cs="Times New Roman"/>
          <w:sz w:val="26"/>
          <w:szCs w:val="26"/>
        </w:rPr>
        <w:t>鼓勵各級學校之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儲備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教師選修幼教學程，重新投入教學工作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FB2A72" w:rsidRPr="00105D92" w:rsidRDefault="00FB2A72" w:rsidP="00FB2A72">
      <w:pPr>
        <w:pStyle w:val="af2"/>
        <w:ind w:firstLineChars="221" w:firstLine="57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另對於目前部分私立幼兒園所存有的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以保代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師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」，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或聘用未具有</w:t>
      </w:r>
      <w:r w:rsidRPr="00105D92">
        <w:rPr>
          <w:rFonts w:ascii="標楷體" w:eastAsia="標楷體" w:hAnsi="標楷體" w:cs="Times New Roman"/>
          <w:sz w:val="26"/>
          <w:szCs w:val="26"/>
        </w:rPr>
        <w:t>幼</w:t>
      </w:r>
      <w:r w:rsidRPr="00105D92">
        <w:rPr>
          <w:rFonts w:ascii="標楷體" w:eastAsia="標楷體" w:hAnsi="標楷體" w:cs="Times New Roman"/>
          <w:sz w:val="26"/>
          <w:szCs w:val="26"/>
        </w:rPr>
        <w:lastRenderedPageBreak/>
        <w:t>兒教師合格證照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之教師等問題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教育部與各縣市政府也應透過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幼兒園園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務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評鑑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指標的</w:t>
      </w:r>
      <w:proofErr w:type="gramStart"/>
      <w:r w:rsidRPr="00105D92">
        <w:rPr>
          <w:rFonts w:ascii="Times New Roman" w:eastAsia="標楷體" w:hAnsi="Times New Roman" w:cs="Times New Roman" w:hint="eastAsia"/>
          <w:sz w:val="26"/>
          <w:szCs w:val="26"/>
        </w:rPr>
        <w:t>研</w:t>
      </w:r>
      <w:proofErr w:type="gramEnd"/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擬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明訂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各園教保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員與幼兒教師之合格比率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並嚴格要求依法聘用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以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確保均質的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教學師資。</w:t>
      </w:r>
    </w:p>
    <w:p w:rsidR="00FB2A72" w:rsidRPr="00105D92" w:rsidRDefault="00FB2A72" w:rsidP="00FB2A72">
      <w:pPr>
        <w:pStyle w:val="af2"/>
        <w:rPr>
          <w:rFonts w:ascii="Times New Roman" w:eastAsia="標楷體" w:hAnsi="Times New Roman" w:cs="Times New Roman"/>
          <w:sz w:val="26"/>
          <w:szCs w:val="26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  <w:r w:rsidRPr="00105D92">
        <w:rPr>
          <w:rFonts w:ascii="Times New Roman" w:eastAsia="標楷體" w:hAnsi="Times New Roman" w:cs="Times New Roman"/>
          <w:b/>
          <w:sz w:val="28"/>
          <w:szCs w:val="28"/>
        </w:rPr>
        <w:t>四、明定中央編列比率，</w:t>
      </w:r>
      <w:r w:rsidRPr="00105D92">
        <w:rPr>
          <w:rFonts w:ascii="Times New Roman" w:eastAsia="標楷體" w:hAnsi="Times New Roman" w:cs="Times New Roman" w:hint="eastAsia"/>
          <w:b/>
          <w:sz w:val="28"/>
          <w:szCs w:val="28"/>
        </w:rPr>
        <w:t>大幅</w:t>
      </w:r>
      <w:r>
        <w:rPr>
          <w:rFonts w:ascii="Times New Roman" w:eastAsia="標楷體" w:hAnsi="Times New Roman" w:cs="Times New Roman"/>
          <w:b/>
          <w:sz w:val="28"/>
          <w:szCs w:val="28"/>
        </w:rPr>
        <w:t>提升幼教</w:t>
      </w:r>
      <w:r w:rsidRPr="00105D92">
        <w:rPr>
          <w:rFonts w:ascii="Times New Roman" w:eastAsia="標楷體" w:hAnsi="Times New Roman" w:cs="Times New Roman"/>
          <w:b/>
          <w:sz w:val="28"/>
          <w:szCs w:val="28"/>
        </w:rPr>
        <w:t>投資</w:t>
      </w:r>
    </w:p>
    <w:p w:rsidR="00FB2A72" w:rsidRPr="00105D92" w:rsidRDefault="00FB2A72" w:rsidP="00FB2A72">
      <w:pPr>
        <w:pStyle w:val="af2"/>
        <w:ind w:firstLineChars="210" w:firstLine="54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t>依據資料顯示</w:t>
      </w:r>
      <w:r w:rsidRPr="00105D92">
        <w:rPr>
          <w:rFonts w:ascii="Times New Roman" w:eastAsia="標楷體" w:hAnsi="Times New Roman" w:cs="Times New Roman"/>
          <w:sz w:val="26"/>
          <w:szCs w:val="26"/>
        </w:rPr>
        <w:t>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如表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105D92">
        <w:rPr>
          <w:rFonts w:ascii="Times New Roman" w:eastAsia="標楷體" w:hAnsi="Times New Roman" w:cs="Times New Roman"/>
          <w:sz w:val="26"/>
          <w:szCs w:val="26"/>
        </w:rPr>
        <w:t>)</w:t>
      </w:r>
      <w:r w:rsidRPr="00105D92">
        <w:rPr>
          <w:rFonts w:ascii="Times New Roman" w:eastAsia="標楷體" w:hAnsi="Times New Roman" w:cs="Times New Roman"/>
          <w:sz w:val="26"/>
          <w:szCs w:val="26"/>
        </w:rPr>
        <w:t>，教育部</w:t>
      </w:r>
      <w:r w:rsidRPr="00105D92">
        <w:rPr>
          <w:rFonts w:ascii="Times New Roman" w:eastAsia="標楷體" w:hAnsi="Times New Roman" w:cs="Times New Roman"/>
          <w:sz w:val="26"/>
          <w:szCs w:val="26"/>
        </w:rPr>
        <w:t>101-104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學年度對學前幼兒教育經費約占教育總經費的</w:t>
      </w:r>
      <w:r w:rsidRPr="00105D92">
        <w:rPr>
          <w:rFonts w:ascii="Times New Roman" w:eastAsia="標楷體" w:hAnsi="Times New Roman" w:cs="Times New Roman"/>
          <w:sz w:val="26"/>
          <w:szCs w:val="26"/>
        </w:rPr>
        <w:t>3.6%</w:t>
      </w:r>
      <w:r w:rsidRPr="00105D92">
        <w:rPr>
          <w:rFonts w:ascii="Times New Roman" w:eastAsia="標楷體" w:hAnsi="Times New Roman" w:cs="Times New Roman"/>
          <w:sz w:val="26"/>
          <w:szCs w:val="26"/>
        </w:rPr>
        <w:t>，不僅是各級學校經費編列的比率最低，且明顯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偏低</w:t>
      </w:r>
      <w:r w:rsidRPr="00105D92">
        <w:rPr>
          <w:rFonts w:ascii="Times New Roman" w:eastAsia="標楷體" w:hAnsi="Times New Roman" w:cs="Times New Roman"/>
          <w:sz w:val="26"/>
          <w:szCs w:val="26"/>
        </w:rPr>
        <w:t>。教育部應立即調整各級教育預算的編列比率，且明定幼教經費不得低於教育總經費的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105D92">
        <w:rPr>
          <w:rFonts w:ascii="Times New Roman" w:eastAsia="標楷體" w:hAnsi="Times New Roman" w:cs="Times New Roman"/>
          <w:sz w:val="26"/>
          <w:szCs w:val="26"/>
        </w:rPr>
        <w:t>%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FB2A72" w:rsidRPr="00105D92" w:rsidRDefault="00FB2A72" w:rsidP="00FB2A72">
      <w:pPr>
        <w:pStyle w:val="af2"/>
        <w:ind w:firstLineChars="210" w:firstLine="54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由於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我國目前幼兒教育經費的分擔，主要係依賴私立幼兒園的支出</w:t>
      </w:r>
      <w:r w:rsidRPr="00105D92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公私立比約</w:t>
      </w:r>
      <w:r w:rsidRPr="00105D92">
        <w:rPr>
          <w:rFonts w:ascii="Times New Roman" w:eastAsia="標楷體" w:hAnsi="Times New Roman" w:cs="Times New Roman"/>
          <w:sz w:val="26"/>
          <w:szCs w:val="26"/>
        </w:rPr>
        <w:t>33%</w:t>
      </w:r>
      <w:r w:rsidRPr="00105D92">
        <w:rPr>
          <w:rFonts w:ascii="Times New Roman" w:eastAsia="標楷體" w:hAnsi="Times New Roman" w:cs="Times New Roman"/>
          <w:sz w:val="26"/>
          <w:szCs w:val="26"/>
        </w:rPr>
        <w:t>：</w:t>
      </w:r>
      <w:r w:rsidRPr="00105D92">
        <w:rPr>
          <w:rFonts w:ascii="Times New Roman" w:eastAsia="標楷體" w:hAnsi="Times New Roman" w:cs="Times New Roman"/>
          <w:sz w:val="26"/>
          <w:szCs w:val="26"/>
        </w:rPr>
        <w:t>67%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如表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105D92">
        <w:rPr>
          <w:rFonts w:ascii="Times New Roman" w:eastAsia="標楷體" w:hAnsi="Times New Roman" w:cs="Times New Roman"/>
          <w:sz w:val="26"/>
          <w:szCs w:val="26"/>
        </w:rPr>
        <w:t>所列</w:t>
      </w:r>
      <w:r w:rsidRPr="00105D92">
        <w:rPr>
          <w:rFonts w:ascii="Times New Roman" w:eastAsia="標楷體" w:hAnsi="Times New Roman" w:cs="Times New Roman"/>
          <w:sz w:val="26"/>
          <w:szCs w:val="26"/>
        </w:rPr>
        <w:t>)</w:t>
      </w:r>
      <w:r w:rsidRPr="00105D92">
        <w:rPr>
          <w:rFonts w:ascii="Times New Roman" w:eastAsia="標楷體" w:hAnsi="Times New Roman" w:cs="Times New Roman"/>
          <w:sz w:val="26"/>
          <w:szCs w:val="26"/>
        </w:rPr>
        <w:t>，以致造成想讀公立幼兒園不成，而被迫就讀私立幼兒園的五歲孩童家庭，必須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承受較高的經費負擔</w:t>
      </w:r>
      <w:r w:rsidRPr="00105D92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105D92">
        <w:rPr>
          <w:rFonts w:ascii="標楷體" w:eastAsia="標楷體" w:hAnsi="標楷體" w:cs="Times New Roman" w:hint="eastAsia"/>
          <w:sz w:val="26"/>
          <w:szCs w:val="26"/>
        </w:rPr>
        <w:t>以及</w:t>
      </w:r>
      <w:r w:rsidRPr="00105D92">
        <w:rPr>
          <w:rFonts w:ascii="Times New Roman" w:eastAsia="標楷體" w:hAnsi="Times New Roman" w:cs="Times New Roman"/>
          <w:sz w:val="26"/>
          <w:szCs w:val="26"/>
        </w:rPr>
        <w:t>「高消費，低享受」之不公平現象</w:t>
      </w:r>
      <w:r w:rsidRPr="00105D92">
        <w:rPr>
          <w:rFonts w:ascii="Times New Roman" w:eastAsia="標楷體" w:hAnsi="Times New Roman" w:cs="Times New Roman"/>
          <w:sz w:val="26"/>
          <w:szCs w:val="26"/>
        </w:rPr>
        <w:t>(</w:t>
      </w:r>
      <w:r w:rsidRPr="00105D92">
        <w:rPr>
          <w:rFonts w:ascii="Times New Roman" w:eastAsia="標楷體" w:hAnsi="Times New Roman" w:cs="Times New Roman"/>
          <w:sz w:val="26"/>
          <w:szCs w:val="26"/>
        </w:rPr>
        <w:t>公私立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幼兒園每生教育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單位成本的比較</w:t>
      </w:r>
      <w:r w:rsidRPr="00105D92">
        <w:rPr>
          <w:rFonts w:ascii="Times New Roman" w:eastAsia="新細明體" w:hAnsi="Times New Roman" w:cs="Times New Roman"/>
          <w:sz w:val="26"/>
          <w:szCs w:val="26"/>
        </w:rPr>
        <w:t>，</w:t>
      </w:r>
      <w:r w:rsidRPr="00105D92">
        <w:rPr>
          <w:rFonts w:ascii="Times New Roman" w:eastAsia="標楷體" w:hAnsi="Times New Roman" w:cs="Times New Roman"/>
          <w:sz w:val="26"/>
          <w:szCs w:val="26"/>
        </w:rPr>
        <w:t>請見表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105D92">
        <w:rPr>
          <w:rFonts w:ascii="Times New Roman" w:eastAsia="標楷體" w:hAnsi="Times New Roman" w:cs="Times New Roman"/>
          <w:sz w:val="26"/>
          <w:szCs w:val="26"/>
        </w:rPr>
        <w:t>)</w:t>
      </w:r>
      <w:r w:rsidRPr="00105D92">
        <w:rPr>
          <w:rFonts w:ascii="Times New Roman" w:eastAsia="標楷體" w:hAnsi="Times New Roman" w:cs="Times New Roman"/>
          <w:sz w:val="26"/>
          <w:szCs w:val="26"/>
        </w:rPr>
        <w:t>。</w:t>
      </w:r>
      <w:proofErr w:type="gramStart"/>
      <w:r w:rsidRPr="00105D92">
        <w:rPr>
          <w:rFonts w:ascii="Times New Roman" w:eastAsia="標楷體" w:hAnsi="Times New Roman" w:cs="Times New Roman"/>
          <w:sz w:val="26"/>
          <w:szCs w:val="26"/>
        </w:rPr>
        <w:t>爰</w:t>
      </w:r>
      <w:proofErr w:type="gramEnd"/>
      <w:r w:rsidRPr="00105D92">
        <w:rPr>
          <w:rFonts w:ascii="Times New Roman" w:eastAsia="標楷體" w:hAnsi="Times New Roman" w:cs="Times New Roman"/>
          <w:sz w:val="26"/>
          <w:szCs w:val="26"/>
        </w:rPr>
        <w:t>此，教育部應適度調整各級教育預算之編列比率，將五歲幼兒教育視同國民教育的一環，經費之編列不得低於現有國民中小學每年預算的平均值，以提供充足的幼教經費，</w:t>
      </w:r>
      <w:r w:rsidRPr="00105D92">
        <w:rPr>
          <w:rFonts w:ascii="Times New Roman" w:eastAsia="標楷體" w:hAnsi="Times New Roman" w:cs="Times New Roman" w:hint="eastAsia"/>
          <w:sz w:val="26"/>
          <w:szCs w:val="26"/>
        </w:rPr>
        <w:t>讓每一位五歲幼兒享有相同</w:t>
      </w:r>
      <w:proofErr w:type="gramStart"/>
      <w:r w:rsidRPr="00105D92">
        <w:rPr>
          <w:rFonts w:ascii="Times New Roman" w:eastAsia="標楷體" w:hAnsi="Times New Roman" w:cs="Times New Roman" w:hint="eastAsia"/>
          <w:sz w:val="26"/>
          <w:szCs w:val="26"/>
        </w:rPr>
        <w:t>且均質的</w:t>
      </w:r>
      <w:proofErr w:type="gramEnd"/>
      <w:r w:rsidRPr="00105D92">
        <w:rPr>
          <w:rFonts w:ascii="Times New Roman" w:eastAsia="標楷體" w:hAnsi="Times New Roman" w:cs="Times New Roman" w:hint="eastAsia"/>
          <w:sz w:val="26"/>
          <w:szCs w:val="26"/>
        </w:rPr>
        <w:t>教育待遇</w:t>
      </w:r>
      <w:r w:rsidRPr="00105D9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FB2A72" w:rsidRPr="00105D92" w:rsidRDefault="00FB2A72" w:rsidP="00FB2A72">
      <w:pPr>
        <w:pStyle w:val="af2"/>
        <w:rPr>
          <w:rFonts w:ascii="Times New Roman" w:eastAsia="標楷體" w:hAnsi="Times New Roman" w:cs="Times New Roman"/>
          <w:sz w:val="26"/>
          <w:szCs w:val="26"/>
        </w:rPr>
      </w:pPr>
      <w:r w:rsidRPr="00105D92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FB2A72" w:rsidRPr="00E80BC2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  <w:r w:rsidRPr="00E80BC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附錄</w:t>
      </w: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Cs w:val="24"/>
        </w:rPr>
      </w:pPr>
      <w:r w:rsidRPr="006C7D0A">
        <w:rPr>
          <w:rFonts w:ascii="Times New Roman" w:eastAsia="標楷體" w:hAnsi="Times New Roman" w:cs="Times New Roman"/>
          <w:szCs w:val="24"/>
        </w:rPr>
        <w:t>表</w:t>
      </w:r>
      <w:r w:rsidRPr="006C7D0A">
        <w:rPr>
          <w:rFonts w:ascii="Times New Roman" w:eastAsia="標楷體" w:hAnsi="Times New Roman" w:cs="Times New Roman"/>
          <w:szCs w:val="24"/>
        </w:rPr>
        <w:t xml:space="preserve">1 </w:t>
      </w:r>
      <w:r w:rsidRPr="006C7D0A">
        <w:rPr>
          <w:rFonts w:ascii="Times New Roman" w:eastAsia="標楷體" w:hAnsi="Times New Roman" w:cs="Times New Roman"/>
          <w:szCs w:val="24"/>
        </w:rPr>
        <w:t>我國</w:t>
      </w:r>
      <w:r w:rsidRPr="006C7D0A">
        <w:rPr>
          <w:rFonts w:ascii="Times New Roman" w:eastAsia="標楷體" w:hAnsi="Times New Roman" w:cs="Times New Roman"/>
          <w:szCs w:val="24"/>
        </w:rPr>
        <w:t>104-106</w:t>
      </w:r>
      <w:r w:rsidRPr="006C7D0A">
        <w:rPr>
          <w:rFonts w:ascii="Times New Roman" w:eastAsia="標楷體" w:hAnsi="Times New Roman" w:cs="Times New Roman"/>
          <w:szCs w:val="24"/>
        </w:rPr>
        <w:t>學年度幼兒園</w:t>
      </w:r>
      <w:proofErr w:type="gramStart"/>
      <w:r w:rsidRPr="006C7D0A">
        <w:rPr>
          <w:rFonts w:ascii="Times New Roman" w:eastAsia="標楷體" w:hAnsi="Times New Roman" w:cs="Times New Roman"/>
          <w:szCs w:val="24"/>
        </w:rPr>
        <w:t>入園數與</w:t>
      </w:r>
      <w:proofErr w:type="gramEnd"/>
      <w:r w:rsidRPr="006C7D0A">
        <w:rPr>
          <w:rFonts w:ascii="Times New Roman" w:eastAsia="標楷體" w:hAnsi="Times New Roman" w:cs="Times New Roman"/>
          <w:szCs w:val="24"/>
        </w:rPr>
        <w:t>就讀公私立比率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1083"/>
        <w:gridCol w:w="1083"/>
        <w:gridCol w:w="1083"/>
        <w:gridCol w:w="1083"/>
      </w:tblGrid>
      <w:tr w:rsidR="00FB2A72" w:rsidRPr="006C7D0A" w:rsidTr="008368F4">
        <w:tc>
          <w:tcPr>
            <w:tcW w:w="98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學年度</w:t>
            </w: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幼兒數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入園數</w:t>
            </w:r>
            <w:proofErr w:type="gramEnd"/>
          </w:p>
        </w:tc>
        <w:tc>
          <w:tcPr>
            <w:tcW w:w="2166" w:type="dxa"/>
            <w:gridSpan w:val="2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公</w:t>
            </w:r>
            <w:proofErr w:type="gramStart"/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幼入園數</w:t>
            </w:r>
            <w:proofErr w:type="gramEnd"/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率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2166" w:type="dxa"/>
            <w:gridSpan w:val="2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私幼入園數</w:t>
            </w:r>
            <w:proofErr w:type="gramEnd"/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率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%)</w:t>
            </w:r>
          </w:p>
        </w:tc>
      </w:tr>
      <w:tr w:rsidR="00FB2A72" w:rsidRPr="006C7D0A" w:rsidTr="008368F4">
        <w:tc>
          <w:tcPr>
            <w:tcW w:w="988" w:type="dxa"/>
            <w:vMerge w:val="restart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32,443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3,141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29.3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29,302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70.7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103,532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26,796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9.7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76,736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90.3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155,455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52,924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25.9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102,531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74.1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170,566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56,118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34.0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114,448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66.0</w:t>
            </w:r>
          </w:p>
        </w:tc>
      </w:tr>
      <w:tr w:rsidR="00FB2A72" w:rsidRPr="006C7D0A" w:rsidTr="008368F4">
        <w:tc>
          <w:tcPr>
            <w:tcW w:w="988" w:type="dxa"/>
            <w:vMerge w:val="restart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29,837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3,165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10.5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26,672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89.5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103,101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24,161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22.5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78,940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77.5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181,264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58,175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32.2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123,089</w:t>
            </w:r>
          </w:p>
        </w:tc>
        <w:tc>
          <w:tcPr>
            <w:tcW w:w="1083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67.8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178,460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59,724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33.1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118,736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66.9</w:t>
            </w:r>
          </w:p>
        </w:tc>
      </w:tr>
      <w:tr w:rsidR="00FB2A72" w:rsidRPr="006C7D0A" w:rsidTr="008368F4">
        <w:tc>
          <w:tcPr>
            <w:tcW w:w="988" w:type="dxa"/>
            <w:vMerge w:val="restart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34,984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3,687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29.3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31,297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70.7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98,850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22,261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10.5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76,589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89.5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177,932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57,308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22.2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120,624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77.5</w:t>
            </w:r>
          </w:p>
        </w:tc>
      </w:tr>
      <w:tr w:rsidR="00FB2A72" w:rsidRPr="006C7D0A" w:rsidTr="008368F4">
        <w:tc>
          <w:tcPr>
            <w:tcW w:w="988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至未滿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歲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209,610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69,362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32.2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140,248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67.8</w:t>
            </w:r>
          </w:p>
        </w:tc>
      </w:tr>
    </w:tbl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0"/>
          <w:szCs w:val="20"/>
        </w:rPr>
      </w:pPr>
      <w:r w:rsidRPr="006C7D0A">
        <w:rPr>
          <w:rFonts w:ascii="Times New Roman" w:eastAsia="標楷體" w:hAnsi="Times New Roman" w:cs="Times New Roman"/>
          <w:sz w:val="20"/>
          <w:szCs w:val="20"/>
        </w:rPr>
        <w:t>資料來源：整理自教育部統計處</w:t>
      </w:r>
      <w:r w:rsidRPr="006C7D0A">
        <w:rPr>
          <w:rFonts w:ascii="Times New Roman" w:eastAsia="標楷體" w:hAnsi="Times New Roman" w:cs="Times New Roman"/>
          <w:sz w:val="20"/>
          <w:szCs w:val="20"/>
        </w:rPr>
        <w:t>(2017)</w:t>
      </w:r>
      <w:r w:rsidRPr="006C7D0A">
        <w:rPr>
          <w:rFonts w:ascii="Times New Roman" w:eastAsia="標楷體" w:hAnsi="Times New Roman" w:cs="Times New Roman"/>
          <w:sz w:val="20"/>
          <w:szCs w:val="20"/>
        </w:rPr>
        <w:t>。</w:t>
      </w:r>
      <w:r w:rsidRPr="006C7D0A">
        <w:rPr>
          <w:rFonts w:ascii="Times New Roman" w:eastAsia="標楷體" w:hAnsi="Times New Roman" w:cs="Times New Roman"/>
          <w:sz w:val="20"/>
          <w:szCs w:val="20"/>
        </w:rPr>
        <w:t>106</w:t>
      </w:r>
      <w:r w:rsidRPr="006C7D0A">
        <w:rPr>
          <w:rFonts w:ascii="Times New Roman" w:eastAsia="標楷體" w:hAnsi="Times New Roman" w:cs="Times New Roman"/>
          <w:sz w:val="20"/>
          <w:szCs w:val="20"/>
        </w:rPr>
        <w:t>學年度幼兒園概況</w:t>
      </w:r>
      <w:r w:rsidRPr="006C7D0A">
        <w:rPr>
          <w:rFonts w:ascii="Times New Roman" w:eastAsia="標楷體" w:hAnsi="Times New Roman" w:cs="Times New Roman"/>
          <w:sz w:val="20"/>
          <w:szCs w:val="20"/>
        </w:rPr>
        <w:t>-</w:t>
      </w:r>
      <w:r w:rsidRPr="006C7D0A">
        <w:rPr>
          <w:rFonts w:ascii="Times New Roman" w:eastAsia="標楷體" w:hAnsi="Times New Roman" w:cs="Times New Roman"/>
          <w:sz w:val="20"/>
          <w:szCs w:val="20"/>
        </w:rPr>
        <w:t>學校設立別</w:t>
      </w:r>
      <w:r w:rsidRPr="006C7D0A">
        <w:rPr>
          <w:rFonts w:ascii="Times New Roman" w:eastAsia="新細明體" w:hAnsi="Times New Roman" w:cs="Times New Roman"/>
          <w:sz w:val="20"/>
          <w:szCs w:val="20"/>
        </w:rPr>
        <w:t>。</w:t>
      </w:r>
    </w:p>
    <w:p w:rsidR="00FB2A72" w:rsidRDefault="00FB2A72" w:rsidP="00FB2A72">
      <w:pPr>
        <w:pStyle w:val="af2"/>
        <w:rPr>
          <w:rFonts w:ascii="Times New Roman" w:eastAsia="標楷體" w:hAnsi="Times New Roman" w:cs="Times New Roman"/>
          <w:szCs w:val="24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Cs w:val="24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16"/>
          <w:szCs w:val="16"/>
        </w:rPr>
      </w:pPr>
      <w:r w:rsidRPr="006C7D0A">
        <w:rPr>
          <w:rFonts w:ascii="Times New Roman" w:eastAsia="標楷體" w:hAnsi="Times New Roman" w:cs="Times New Roman"/>
          <w:szCs w:val="24"/>
        </w:rPr>
        <w:t>表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6C7D0A">
        <w:rPr>
          <w:rFonts w:ascii="Times New Roman" w:eastAsia="標楷體" w:hAnsi="Times New Roman" w:cs="Times New Roman"/>
          <w:szCs w:val="24"/>
        </w:rPr>
        <w:t xml:space="preserve"> </w:t>
      </w:r>
      <w:r w:rsidRPr="006C7D0A">
        <w:rPr>
          <w:rFonts w:ascii="Times New Roman" w:eastAsia="標楷體" w:hAnsi="Times New Roman" w:cs="Times New Roman"/>
          <w:szCs w:val="24"/>
        </w:rPr>
        <w:t>各級學校教育經費之編列情形</w:t>
      </w:r>
      <w:r w:rsidRPr="006C7D0A">
        <w:rPr>
          <w:rFonts w:ascii="Times New Roman" w:eastAsia="標楷體" w:hAnsi="Times New Roman" w:cs="Times New Roman"/>
          <w:szCs w:val="24"/>
        </w:rPr>
        <w:t xml:space="preserve"> </w:t>
      </w:r>
      <w:r w:rsidRPr="006C7D0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C7D0A">
        <w:rPr>
          <w:rFonts w:ascii="Times New Roman" w:eastAsia="標楷體" w:hAnsi="Times New Roman" w:cs="Times New Roman"/>
        </w:rPr>
        <w:t xml:space="preserve">             </w:t>
      </w:r>
      <w:r w:rsidRPr="006C7D0A">
        <w:rPr>
          <w:rFonts w:ascii="Times New Roman" w:eastAsia="標楷體" w:hAnsi="Times New Roman" w:cs="Times New Roman"/>
          <w:sz w:val="16"/>
          <w:szCs w:val="16"/>
        </w:rPr>
        <w:t>單位：千元</w:t>
      </w:r>
    </w:p>
    <w:tbl>
      <w:tblPr>
        <w:tblStyle w:val="af3"/>
        <w:tblW w:w="8352" w:type="dxa"/>
        <w:tblLook w:val="04A0" w:firstRow="1" w:lastRow="0" w:firstColumn="1" w:lastColumn="0" w:noHBand="0" w:noVBand="1"/>
      </w:tblPr>
      <w:tblGrid>
        <w:gridCol w:w="967"/>
        <w:gridCol w:w="1244"/>
        <w:gridCol w:w="1600"/>
        <w:gridCol w:w="1937"/>
        <w:gridCol w:w="1386"/>
        <w:gridCol w:w="1218"/>
      </w:tblGrid>
      <w:tr w:rsidR="00FB2A72" w:rsidRPr="006C7D0A" w:rsidTr="008368F4">
        <w:trPr>
          <w:trHeight w:val="360"/>
        </w:trPr>
        <w:tc>
          <w:tcPr>
            <w:tcW w:w="96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學年度</w:t>
            </w:r>
          </w:p>
        </w:tc>
        <w:tc>
          <w:tcPr>
            <w:tcW w:w="12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總計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幼兒園</w:t>
            </w: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(%)</w:t>
            </w:r>
          </w:p>
        </w:tc>
        <w:tc>
          <w:tcPr>
            <w:tcW w:w="1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國中小</w:t>
            </w:r>
          </w:p>
        </w:tc>
        <w:tc>
          <w:tcPr>
            <w:tcW w:w="1386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高中職</w:t>
            </w:r>
          </w:p>
        </w:tc>
        <w:tc>
          <w:tcPr>
            <w:tcW w:w="121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大專院校</w:t>
            </w:r>
          </w:p>
        </w:tc>
      </w:tr>
      <w:tr w:rsidR="00FB2A72" w:rsidRPr="006C7D0A" w:rsidTr="008368F4">
        <w:trPr>
          <w:trHeight w:val="360"/>
        </w:trPr>
        <w:tc>
          <w:tcPr>
            <w:tcW w:w="96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500,498,121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15,459,334</w:t>
            </w:r>
            <w:r w:rsidRPr="006C7D0A">
              <w:rPr>
                <w:rFonts w:ascii="Times New Roman" w:eastAsia="標楷體" w:hAnsi="Times New Roman" w:cs="Times New Roman"/>
                <w:color w:val="C45911" w:themeColor="accent2" w:themeShade="BF"/>
                <w:kern w:val="0"/>
                <w:sz w:val="20"/>
                <w:szCs w:val="20"/>
              </w:rPr>
              <w:t>(3.09)</w:t>
            </w:r>
          </w:p>
        </w:tc>
        <w:tc>
          <w:tcPr>
            <w:tcW w:w="1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297,907,956(59.52)</w:t>
            </w:r>
          </w:p>
        </w:tc>
        <w:tc>
          <w:tcPr>
            <w:tcW w:w="1386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64,824,059</w:t>
            </w:r>
          </w:p>
        </w:tc>
        <w:tc>
          <w:tcPr>
            <w:tcW w:w="121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12,962,785</w:t>
            </w:r>
          </w:p>
        </w:tc>
      </w:tr>
      <w:tr w:rsidR="00FB2A72" w:rsidRPr="006C7D0A" w:rsidTr="008368F4">
        <w:trPr>
          <w:trHeight w:val="360"/>
        </w:trPr>
        <w:tc>
          <w:tcPr>
            <w:tcW w:w="96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496,471,978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17,635,204</w:t>
            </w:r>
            <w:r w:rsidRPr="006C7D0A">
              <w:rPr>
                <w:rFonts w:ascii="Times New Roman" w:eastAsia="標楷體" w:hAnsi="Times New Roman" w:cs="Times New Roman"/>
                <w:color w:val="C45911" w:themeColor="accent2" w:themeShade="BF"/>
                <w:kern w:val="0"/>
                <w:sz w:val="20"/>
                <w:szCs w:val="20"/>
              </w:rPr>
              <w:t>(3.55)</w:t>
            </w:r>
          </w:p>
        </w:tc>
        <w:tc>
          <w:tcPr>
            <w:tcW w:w="1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297,656,411(59.95)</w:t>
            </w:r>
          </w:p>
        </w:tc>
        <w:tc>
          <w:tcPr>
            <w:tcW w:w="1386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65,368,356</w:t>
            </w:r>
          </w:p>
        </w:tc>
        <w:tc>
          <w:tcPr>
            <w:tcW w:w="121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12,048,899</w:t>
            </w:r>
          </w:p>
        </w:tc>
      </w:tr>
      <w:tr w:rsidR="00FB2A72" w:rsidRPr="006C7D0A" w:rsidTr="008368F4">
        <w:trPr>
          <w:trHeight w:val="360"/>
        </w:trPr>
        <w:tc>
          <w:tcPr>
            <w:tcW w:w="96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495,906,441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17,693,989</w:t>
            </w:r>
            <w:r w:rsidRPr="006C7D0A">
              <w:rPr>
                <w:rFonts w:ascii="Times New Roman" w:eastAsia="標楷體" w:hAnsi="Times New Roman" w:cs="Times New Roman"/>
                <w:color w:val="C45911" w:themeColor="accent2" w:themeShade="BF"/>
                <w:kern w:val="0"/>
                <w:sz w:val="20"/>
                <w:szCs w:val="20"/>
              </w:rPr>
              <w:t>(3.57)</w:t>
            </w:r>
          </w:p>
        </w:tc>
        <w:tc>
          <w:tcPr>
            <w:tcW w:w="1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298,252,975(60.14)</w:t>
            </w:r>
          </w:p>
        </w:tc>
        <w:tc>
          <w:tcPr>
            <w:tcW w:w="1386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66,043,959</w:t>
            </w:r>
          </w:p>
        </w:tc>
        <w:tc>
          <w:tcPr>
            <w:tcW w:w="121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11,752,750</w:t>
            </w:r>
          </w:p>
        </w:tc>
      </w:tr>
      <w:tr w:rsidR="00FB2A72" w:rsidRPr="006C7D0A" w:rsidTr="008368F4">
        <w:trPr>
          <w:trHeight w:val="360"/>
        </w:trPr>
        <w:tc>
          <w:tcPr>
            <w:tcW w:w="96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501,966,441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18,595,208</w:t>
            </w:r>
            <w:r w:rsidRPr="006C7D0A"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  <w:t>(3.70)</w:t>
            </w:r>
          </w:p>
        </w:tc>
        <w:tc>
          <w:tcPr>
            <w:tcW w:w="1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298,636,021(59.49)</w:t>
            </w:r>
          </w:p>
        </w:tc>
        <w:tc>
          <w:tcPr>
            <w:tcW w:w="1386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67,840,801</w:t>
            </w:r>
          </w:p>
        </w:tc>
        <w:tc>
          <w:tcPr>
            <w:tcW w:w="121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112,702,061</w:t>
            </w:r>
          </w:p>
        </w:tc>
      </w:tr>
    </w:tbl>
    <w:p w:rsidR="00FB2A72" w:rsidRPr="00370213" w:rsidRDefault="00FB2A72" w:rsidP="00FB2A72">
      <w:pPr>
        <w:rPr>
          <w:rFonts w:ascii="Times New Roman" w:eastAsia="標楷體" w:hAnsi="Times New Roman" w:cs="Times New Roman"/>
          <w:sz w:val="20"/>
          <w:szCs w:val="20"/>
        </w:rPr>
      </w:pPr>
      <w:r w:rsidRPr="005B536A">
        <w:rPr>
          <w:rFonts w:ascii="Times New Roman" w:eastAsia="標楷體" w:hAnsi="Times New Roman" w:cs="Times New Roman"/>
          <w:sz w:val="20"/>
          <w:szCs w:val="20"/>
        </w:rPr>
        <w:t>資料來源：教育部</w:t>
      </w:r>
      <w:r w:rsidRPr="005B536A">
        <w:rPr>
          <w:rFonts w:ascii="Times New Roman" w:eastAsia="標楷體" w:hAnsi="Times New Roman" w:cs="Times New Roman"/>
          <w:sz w:val="20"/>
          <w:szCs w:val="20"/>
        </w:rPr>
        <w:t>(2016)</w:t>
      </w:r>
      <w:r w:rsidRPr="005B536A">
        <w:rPr>
          <w:rFonts w:ascii="Times New Roman" w:eastAsia="標楷體" w:hAnsi="Times New Roman" w:cs="Times New Roman"/>
          <w:sz w:val="20"/>
          <w:szCs w:val="20"/>
        </w:rPr>
        <w:t>。中華民國</w:t>
      </w:r>
      <w:r w:rsidRPr="005B536A">
        <w:rPr>
          <w:rFonts w:ascii="Times New Roman" w:eastAsia="標楷體" w:hAnsi="Times New Roman" w:cs="Times New Roman"/>
          <w:sz w:val="20"/>
          <w:szCs w:val="20"/>
        </w:rPr>
        <w:t>105</w:t>
      </w:r>
      <w:r w:rsidRPr="005B536A">
        <w:rPr>
          <w:rFonts w:ascii="Times New Roman" w:eastAsia="標楷體" w:hAnsi="Times New Roman" w:cs="Times New Roman"/>
          <w:sz w:val="20"/>
          <w:szCs w:val="20"/>
        </w:rPr>
        <w:t>年版教育統計。</w:t>
      </w: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0"/>
          <w:szCs w:val="20"/>
        </w:rPr>
      </w:pPr>
      <w:r w:rsidRPr="006C7D0A">
        <w:rPr>
          <w:rFonts w:ascii="Times New Roman" w:eastAsia="標楷體" w:hAnsi="Times New Roman" w:cs="Times New Roman"/>
          <w:sz w:val="20"/>
          <w:szCs w:val="20"/>
        </w:rPr>
        <w:t>備註：本表未列出特殊學校教育之經費</w:t>
      </w:r>
    </w:p>
    <w:p w:rsidR="00FB2A72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8"/>
          <w:szCs w:val="28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 w:val="20"/>
          <w:szCs w:val="20"/>
        </w:rPr>
      </w:pPr>
      <w:r w:rsidRPr="006C7D0A">
        <w:rPr>
          <w:rFonts w:ascii="Times New Roman" w:eastAsia="標楷體" w:hAnsi="Times New Roman" w:cs="Times New Roman"/>
          <w:szCs w:val="24"/>
        </w:rPr>
        <w:t>表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6C7D0A">
        <w:rPr>
          <w:rFonts w:ascii="Times New Roman" w:eastAsia="標楷體" w:hAnsi="Times New Roman" w:cs="Times New Roman"/>
          <w:szCs w:val="24"/>
        </w:rPr>
        <w:t xml:space="preserve"> </w:t>
      </w:r>
      <w:r w:rsidRPr="006C7D0A">
        <w:rPr>
          <w:rFonts w:ascii="Times New Roman" w:eastAsia="標楷體" w:hAnsi="Times New Roman" w:cs="Times New Roman"/>
          <w:szCs w:val="24"/>
        </w:rPr>
        <w:t>公私立幼兒園教育經費之分擔情形</w:t>
      </w:r>
      <w:r w:rsidRPr="006C7D0A">
        <w:rPr>
          <w:rFonts w:ascii="Times New Roman" w:eastAsia="標楷體" w:hAnsi="Times New Roman" w:cs="Times New Roman"/>
          <w:szCs w:val="24"/>
        </w:rPr>
        <w:t xml:space="preserve">  </w:t>
      </w:r>
      <w:r w:rsidRPr="006C7D0A">
        <w:rPr>
          <w:rFonts w:ascii="Times New Roman" w:eastAsia="標楷體" w:hAnsi="Times New Roman" w:cs="Times New Roman"/>
        </w:rPr>
        <w:t xml:space="preserve">         </w:t>
      </w:r>
      <w:r w:rsidRPr="006C7D0A">
        <w:rPr>
          <w:rFonts w:ascii="Times New Roman" w:eastAsia="標楷體" w:hAnsi="Times New Roman" w:cs="Times New Roman"/>
          <w:sz w:val="16"/>
          <w:szCs w:val="16"/>
        </w:rPr>
        <w:t>單位：千元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875"/>
        <w:gridCol w:w="1771"/>
        <w:gridCol w:w="993"/>
        <w:gridCol w:w="1772"/>
        <w:gridCol w:w="993"/>
      </w:tblGrid>
      <w:tr w:rsidR="00FB2A72" w:rsidRPr="006C7D0A" w:rsidTr="008368F4">
        <w:trPr>
          <w:trHeight w:val="340"/>
        </w:trPr>
        <w:tc>
          <w:tcPr>
            <w:tcW w:w="960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學年度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總經費</w:t>
            </w:r>
          </w:p>
        </w:tc>
        <w:tc>
          <w:tcPr>
            <w:tcW w:w="2764" w:type="dxa"/>
            <w:gridSpan w:val="2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公立幼兒園</w:t>
            </w: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(%)</w:t>
            </w:r>
          </w:p>
        </w:tc>
        <w:tc>
          <w:tcPr>
            <w:tcW w:w="2765" w:type="dxa"/>
            <w:gridSpan w:val="2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私立幼兒園</w:t>
            </w:r>
            <w:r w:rsidRPr="006C7D0A">
              <w:rPr>
                <w:rFonts w:ascii="Times New Roman" w:eastAsia="標楷體" w:hAnsi="Times New Roman" w:cs="Times New Roman"/>
                <w:color w:val="595959" w:themeColor="text1" w:themeTint="A6"/>
                <w:sz w:val="20"/>
                <w:szCs w:val="20"/>
              </w:rPr>
              <w:t>(%)</w:t>
            </w:r>
          </w:p>
        </w:tc>
      </w:tr>
      <w:tr w:rsidR="00FB2A72" w:rsidRPr="006C7D0A" w:rsidTr="008368F4">
        <w:trPr>
          <w:trHeight w:val="340"/>
        </w:trPr>
        <w:tc>
          <w:tcPr>
            <w:tcW w:w="960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51,423,609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15,459,334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30.06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35,964,276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69.94</w:t>
            </w:r>
          </w:p>
        </w:tc>
      </w:tr>
      <w:tr w:rsidR="00FB2A72" w:rsidRPr="006C7D0A" w:rsidTr="008368F4">
        <w:trPr>
          <w:trHeight w:val="340"/>
        </w:trPr>
        <w:tc>
          <w:tcPr>
            <w:tcW w:w="960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52,650,876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17,635,204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33.49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35,015,672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66.51</w:t>
            </w:r>
          </w:p>
        </w:tc>
      </w:tr>
      <w:tr w:rsidR="00FB2A72" w:rsidRPr="006C7D0A" w:rsidTr="008368F4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53,759,987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17,693,989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32.91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36,065,999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67.09</w:t>
            </w:r>
          </w:p>
        </w:tc>
      </w:tr>
      <w:tr w:rsidR="00FB2A72" w:rsidRPr="006C7D0A" w:rsidTr="008368F4">
        <w:trPr>
          <w:trHeight w:val="340"/>
        </w:trPr>
        <w:tc>
          <w:tcPr>
            <w:tcW w:w="960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57,062,249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18,595,208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32.59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sz w:val="20"/>
                <w:szCs w:val="20"/>
              </w:rPr>
              <w:t>38,467,041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67.41</w:t>
            </w:r>
          </w:p>
        </w:tc>
      </w:tr>
    </w:tbl>
    <w:p w:rsidR="00FB2A72" w:rsidRPr="005B536A" w:rsidRDefault="00FB2A72" w:rsidP="00FB2A72">
      <w:pPr>
        <w:rPr>
          <w:rFonts w:ascii="Times New Roman" w:eastAsia="標楷體" w:hAnsi="Times New Roman" w:cs="Times New Roman"/>
          <w:sz w:val="20"/>
          <w:szCs w:val="20"/>
        </w:rPr>
      </w:pPr>
      <w:r w:rsidRPr="005B536A">
        <w:rPr>
          <w:rFonts w:ascii="Times New Roman" w:eastAsia="標楷體" w:hAnsi="Times New Roman" w:cs="Times New Roman"/>
          <w:sz w:val="20"/>
          <w:szCs w:val="20"/>
        </w:rPr>
        <w:t>資料來源：教育部</w:t>
      </w:r>
      <w:r w:rsidRPr="005B536A">
        <w:rPr>
          <w:rFonts w:ascii="Times New Roman" w:eastAsia="標楷體" w:hAnsi="Times New Roman" w:cs="Times New Roman"/>
          <w:sz w:val="20"/>
          <w:szCs w:val="20"/>
        </w:rPr>
        <w:t>(2016)</w:t>
      </w:r>
      <w:r w:rsidRPr="005B536A">
        <w:rPr>
          <w:rFonts w:ascii="Times New Roman" w:eastAsia="標楷體" w:hAnsi="Times New Roman" w:cs="Times New Roman"/>
          <w:sz w:val="20"/>
          <w:szCs w:val="20"/>
        </w:rPr>
        <w:t>。中華民國</w:t>
      </w:r>
      <w:r w:rsidRPr="005B536A">
        <w:rPr>
          <w:rFonts w:ascii="Times New Roman" w:eastAsia="標楷體" w:hAnsi="Times New Roman" w:cs="Times New Roman"/>
          <w:sz w:val="20"/>
          <w:szCs w:val="20"/>
        </w:rPr>
        <w:t>105</w:t>
      </w:r>
      <w:r w:rsidRPr="005B536A">
        <w:rPr>
          <w:rFonts w:ascii="Times New Roman" w:eastAsia="標楷體" w:hAnsi="Times New Roman" w:cs="Times New Roman"/>
          <w:sz w:val="20"/>
          <w:szCs w:val="20"/>
        </w:rPr>
        <w:t>年版教育統計。</w:t>
      </w:r>
    </w:p>
    <w:p w:rsidR="00FB2A72" w:rsidRDefault="00FB2A72" w:rsidP="00FB2A72">
      <w:pPr>
        <w:pStyle w:val="af2"/>
        <w:rPr>
          <w:rFonts w:ascii="Times New Roman" w:eastAsia="標楷體" w:hAnsi="Times New Roman" w:cs="Times New Roman"/>
        </w:rPr>
      </w:pPr>
    </w:p>
    <w:p w:rsidR="00FB2A72" w:rsidRPr="00370213" w:rsidRDefault="00FB2A72" w:rsidP="00FB2A72">
      <w:pPr>
        <w:pStyle w:val="af2"/>
        <w:rPr>
          <w:rFonts w:ascii="Times New Roman" w:eastAsia="標楷體" w:hAnsi="Times New Roman" w:cs="Times New Roman"/>
        </w:rPr>
      </w:pP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  <w:szCs w:val="24"/>
        </w:rPr>
      </w:pPr>
      <w:r w:rsidRPr="006C7D0A">
        <w:rPr>
          <w:rFonts w:ascii="Times New Roman" w:eastAsia="標楷體" w:hAnsi="Times New Roman" w:cs="Times New Roman"/>
          <w:szCs w:val="24"/>
        </w:rPr>
        <w:lastRenderedPageBreak/>
        <w:t>表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6C7D0A">
        <w:rPr>
          <w:rFonts w:ascii="Times New Roman" w:eastAsia="標楷體" w:hAnsi="Times New Roman" w:cs="Times New Roman"/>
          <w:szCs w:val="24"/>
        </w:rPr>
        <w:t xml:space="preserve"> </w:t>
      </w:r>
      <w:r w:rsidRPr="006C7D0A">
        <w:rPr>
          <w:rFonts w:ascii="Times New Roman" w:eastAsia="標楷體" w:hAnsi="Times New Roman" w:cs="Times New Roman"/>
          <w:szCs w:val="24"/>
        </w:rPr>
        <w:t>公私立</w:t>
      </w:r>
      <w:proofErr w:type="gramStart"/>
      <w:r w:rsidRPr="006C7D0A">
        <w:rPr>
          <w:rFonts w:ascii="Times New Roman" w:eastAsia="標楷體" w:hAnsi="Times New Roman" w:cs="Times New Roman"/>
          <w:szCs w:val="24"/>
        </w:rPr>
        <w:t>幼兒園每生教育</w:t>
      </w:r>
      <w:proofErr w:type="gramEnd"/>
      <w:r w:rsidRPr="006C7D0A">
        <w:rPr>
          <w:rFonts w:ascii="Times New Roman" w:eastAsia="標楷體" w:hAnsi="Times New Roman" w:cs="Times New Roman"/>
          <w:szCs w:val="24"/>
        </w:rPr>
        <w:t>單位成本比較表</w:t>
      </w:r>
    </w:p>
    <w:tbl>
      <w:tblPr>
        <w:tblStyle w:val="af3"/>
        <w:tblW w:w="8366" w:type="dxa"/>
        <w:tblLayout w:type="fixed"/>
        <w:tblLook w:val="04A0" w:firstRow="1" w:lastRow="0" w:firstColumn="1" w:lastColumn="0" w:noHBand="0" w:noVBand="1"/>
      </w:tblPr>
      <w:tblGrid>
        <w:gridCol w:w="779"/>
        <w:gridCol w:w="1344"/>
        <w:gridCol w:w="840"/>
        <w:gridCol w:w="1148"/>
        <w:gridCol w:w="1358"/>
        <w:gridCol w:w="937"/>
        <w:gridCol w:w="1148"/>
        <w:gridCol w:w="812"/>
      </w:tblGrid>
      <w:tr w:rsidR="00FB2A72" w:rsidRPr="006C7D0A" w:rsidTr="008368F4">
        <w:trPr>
          <w:trHeight w:val="180"/>
        </w:trPr>
        <w:tc>
          <w:tcPr>
            <w:tcW w:w="779" w:type="dxa"/>
            <w:vMerge w:val="restart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學年度</w:t>
            </w:r>
          </w:p>
        </w:tc>
        <w:tc>
          <w:tcPr>
            <w:tcW w:w="3332" w:type="dxa"/>
            <w:gridSpan w:val="3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公立幼兒園</w:t>
            </w:r>
          </w:p>
        </w:tc>
        <w:tc>
          <w:tcPr>
            <w:tcW w:w="3443" w:type="dxa"/>
            <w:gridSpan w:val="3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私立幼兒園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682E2B">
              <w:rPr>
                <w:rFonts w:ascii="Times New Roman" w:eastAsia="標楷體" w:hAnsi="Times New Roman" w:cs="Times New Roman" w:hint="eastAsia"/>
                <w:color w:val="C45911" w:themeColor="accent2" w:themeShade="BF"/>
                <w:sz w:val="20"/>
                <w:szCs w:val="20"/>
              </w:rPr>
              <w:t>A-B</w:t>
            </w:r>
          </w:p>
        </w:tc>
      </w:tr>
      <w:tr w:rsidR="00FB2A72" w:rsidRPr="006C7D0A" w:rsidTr="008368F4">
        <w:trPr>
          <w:trHeight w:val="180"/>
        </w:trPr>
        <w:tc>
          <w:tcPr>
            <w:tcW w:w="779" w:type="dxa"/>
            <w:vMerge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經費總支出</w:t>
            </w:r>
          </w:p>
        </w:tc>
        <w:tc>
          <w:tcPr>
            <w:tcW w:w="840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學生數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單位成本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A</w:t>
            </w:r>
          </w:p>
        </w:tc>
        <w:tc>
          <w:tcPr>
            <w:tcW w:w="135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經費總支出</w:t>
            </w:r>
          </w:p>
        </w:tc>
        <w:tc>
          <w:tcPr>
            <w:tcW w:w="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學生數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單位成本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</w:p>
        </w:tc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</w:tr>
      <w:tr w:rsidR="00FB2A72" w:rsidRPr="006C7D0A" w:rsidTr="008368F4">
        <w:trPr>
          <w:trHeight w:val="360"/>
        </w:trPr>
        <w:tc>
          <w:tcPr>
            <w:tcW w:w="779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3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15,459,334,000</w:t>
            </w:r>
          </w:p>
        </w:tc>
        <w:tc>
          <w:tcPr>
            <w:tcW w:w="840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131,423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117,630</w:t>
            </w:r>
          </w:p>
        </w:tc>
        <w:tc>
          <w:tcPr>
            <w:tcW w:w="135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35,964,276,000</w:t>
            </w:r>
          </w:p>
        </w:tc>
        <w:tc>
          <w:tcPr>
            <w:tcW w:w="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328,230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109,570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682E2B"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  <w:t>8,060</w:t>
            </w:r>
          </w:p>
        </w:tc>
      </w:tr>
      <w:tr w:rsidR="00FB2A72" w:rsidRPr="006C7D0A" w:rsidTr="008368F4">
        <w:trPr>
          <w:trHeight w:val="360"/>
        </w:trPr>
        <w:tc>
          <w:tcPr>
            <w:tcW w:w="779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17,635,204,000</w:t>
            </w:r>
          </w:p>
        </w:tc>
        <w:tc>
          <w:tcPr>
            <w:tcW w:w="840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131,910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133,691</w:t>
            </w:r>
          </w:p>
        </w:tc>
        <w:tc>
          <w:tcPr>
            <w:tcW w:w="135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35,015,672,000</w:t>
            </w:r>
          </w:p>
        </w:tc>
        <w:tc>
          <w:tcPr>
            <w:tcW w:w="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316,279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110,711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682E2B"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  <w:t>22,980</w:t>
            </w:r>
          </w:p>
        </w:tc>
      </w:tr>
      <w:tr w:rsidR="00FB2A72" w:rsidRPr="006C7D0A" w:rsidTr="008368F4">
        <w:trPr>
          <w:trHeight w:val="360"/>
        </w:trPr>
        <w:tc>
          <w:tcPr>
            <w:tcW w:w="779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3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17,693,989,000</w:t>
            </w:r>
          </w:p>
        </w:tc>
        <w:tc>
          <w:tcPr>
            <w:tcW w:w="840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134,154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131,893</w:t>
            </w:r>
          </w:p>
        </w:tc>
        <w:tc>
          <w:tcPr>
            <w:tcW w:w="135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36,065,999,000</w:t>
            </w:r>
          </w:p>
        </w:tc>
        <w:tc>
          <w:tcPr>
            <w:tcW w:w="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310,303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116,228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682E2B"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  <w:t>15,665</w:t>
            </w:r>
          </w:p>
        </w:tc>
      </w:tr>
      <w:tr w:rsidR="00FB2A72" w:rsidRPr="006C7D0A" w:rsidTr="008368F4">
        <w:trPr>
          <w:trHeight w:val="360"/>
        </w:trPr>
        <w:tc>
          <w:tcPr>
            <w:tcW w:w="779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344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18,595,208,000</w:t>
            </w:r>
          </w:p>
        </w:tc>
        <w:tc>
          <w:tcPr>
            <w:tcW w:w="840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138,979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133,799</w:t>
            </w:r>
          </w:p>
        </w:tc>
        <w:tc>
          <w:tcPr>
            <w:tcW w:w="135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sz w:val="18"/>
                <w:szCs w:val="18"/>
              </w:rPr>
              <w:t>38,467,041,000</w:t>
            </w:r>
          </w:p>
        </w:tc>
        <w:tc>
          <w:tcPr>
            <w:tcW w:w="937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323,136</w:t>
            </w:r>
          </w:p>
        </w:tc>
        <w:tc>
          <w:tcPr>
            <w:tcW w:w="1148" w:type="dxa"/>
            <w:vAlign w:val="center"/>
          </w:tcPr>
          <w:p w:rsidR="00FB2A72" w:rsidRPr="006C7D0A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6C7D0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119,043</w:t>
            </w:r>
          </w:p>
        </w:tc>
        <w:tc>
          <w:tcPr>
            <w:tcW w:w="812" w:type="dxa"/>
            <w:shd w:val="clear" w:color="auto" w:fill="D9D9D9" w:themeFill="background1" w:themeFillShade="D9"/>
            <w:vAlign w:val="center"/>
          </w:tcPr>
          <w:p w:rsidR="00FB2A72" w:rsidRPr="00682E2B" w:rsidRDefault="00FB2A72" w:rsidP="008368F4">
            <w:pPr>
              <w:pStyle w:val="af2"/>
              <w:jc w:val="center"/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682E2B">
              <w:rPr>
                <w:rFonts w:ascii="Times New Roman" w:eastAsia="標楷體" w:hAnsi="Times New Roman" w:cs="Times New Roman"/>
                <w:color w:val="C45911" w:themeColor="accent2" w:themeShade="BF"/>
                <w:sz w:val="20"/>
                <w:szCs w:val="20"/>
              </w:rPr>
              <w:t>14,756</w:t>
            </w:r>
          </w:p>
        </w:tc>
      </w:tr>
    </w:tbl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</w:rPr>
      </w:pPr>
      <w:r w:rsidRPr="005B536A">
        <w:rPr>
          <w:rFonts w:ascii="Times New Roman" w:eastAsia="標楷體" w:hAnsi="Times New Roman" w:cs="Times New Roman"/>
          <w:sz w:val="20"/>
          <w:szCs w:val="20"/>
        </w:rPr>
        <w:t>資料來源：教育部。中華民國</w:t>
      </w:r>
      <w:r w:rsidRPr="005B536A">
        <w:rPr>
          <w:rFonts w:ascii="Times New Roman" w:eastAsia="標楷體" w:hAnsi="Times New Roman" w:cs="Times New Roman"/>
          <w:sz w:val="20"/>
          <w:szCs w:val="20"/>
        </w:rPr>
        <w:t>103-105</w:t>
      </w:r>
      <w:r w:rsidRPr="005B536A">
        <w:rPr>
          <w:rFonts w:ascii="Times New Roman" w:eastAsia="標楷體" w:hAnsi="Times New Roman" w:cs="Times New Roman"/>
          <w:sz w:val="20"/>
          <w:szCs w:val="20"/>
        </w:rPr>
        <w:t>年版教育統計。</w:t>
      </w:r>
    </w:p>
    <w:p w:rsidR="00FB2A72" w:rsidRPr="006C7D0A" w:rsidRDefault="00FB2A72" w:rsidP="00FB2A72">
      <w:pPr>
        <w:pStyle w:val="af2"/>
        <w:rPr>
          <w:rFonts w:ascii="Times New Roman" w:eastAsia="標楷體" w:hAnsi="Times New Roman" w:cs="Times New Roman"/>
        </w:rPr>
      </w:pPr>
    </w:p>
    <w:p w:rsidR="00FB2A72" w:rsidRPr="00FB2A72" w:rsidRDefault="00FB2A72" w:rsidP="00CC5F9B">
      <w:pPr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</w:p>
    <w:sectPr w:rsidR="00FB2A72" w:rsidRPr="00FB2A72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176" w:rsidRDefault="00A55176" w:rsidP="00133C3B">
      <w:r>
        <w:separator/>
      </w:r>
    </w:p>
  </w:endnote>
  <w:endnote w:type="continuationSeparator" w:id="0">
    <w:p w:rsidR="00A55176" w:rsidRDefault="00A55176" w:rsidP="001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147639"/>
      <w:docPartObj>
        <w:docPartGallery w:val="Page Numbers (Bottom of Page)"/>
        <w:docPartUnique/>
      </w:docPartObj>
    </w:sdtPr>
    <w:sdtEndPr/>
    <w:sdtContent>
      <w:p w:rsidR="0029040C" w:rsidRDefault="002904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40C">
          <w:rPr>
            <w:noProof/>
            <w:lang w:val="zh-TW"/>
          </w:rPr>
          <w:t>2</w:t>
        </w:r>
        <w:r>
          <w:fldChar w:fldCharType="end"/>
        </w:r>
      </w:p>
    </w:sdtContent>
  </w:sdt>
  <w:p w:rsidR="0029040C" w:rsidRDefault="002904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176" w:rsidRDefault="00A55176" w:rsidP="00133C3B">
      <w:r>
        <w:separator/>
      </w:r>
    </w:p>
  </w:footnote>
  <w:footnote w:type="continuationSeparator" w:id="0">
    <w:p w:rsidR="00A55176" w:rsidRDefault="00A55176" w:rsidP="00133C3B">
      <w:r>
        <w:continuationSeparator/>
      </w:r>
    </w:p>
  </w:footnote>
  <w:footnote w:id="1">
    <w:p w:rsidR="00493DDA" w:rsidRPr="00CC5F9B" w:rsidRDefault="00493DDA" w:rsidP="00CC5F9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CC5F9B">
        <w:rPr>
          <w:rFonts w:ascii="Times New Roman" w:hAnsi="Times New Roman" w:cs="Times New Roman"/>
          <w:sz w:val="22"/>
          <w:szCs w:val="22"/>
        </w:rPr>
        <w:t>Invest in Early Childhood Development: Reduce Deficits, Strengthen the Economy. https://heckmanequation.org/resource/invest-in-early-childhood-development-reduce-deficits-strengthen-the-economy/</w:t>
      </w:r>
    </w:p>
  </w:footnote>
  <w:footnote w:id="2">
    <w:p w:rsidR="00E16689" w:rsidRDefault="00E16689" w:rsidP="00CC5F9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="00F31C92" w:rsidRPr="00CC5F9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2012PISA</w:t>
      </w:r>
      <w:r w:rsidR="00F31C92" w:rsidRPr="00CC5F9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國際評比公布，臺灣學生數學成績</w:t>
      </w:r>
      <w:r w:rsidR="00F31C92" w:rsidRPr="00CC5F9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</w:t>
      </w:r>
      <w:r w:rsidR="00F31C92" w:rsidRPr="00CC5F9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型化嚴重臺灣閱讀居第八，排名大躍進</w:t>
      </w:r>
      <w:r w:rsidRPr="00CC5F9B">
        <w:rPr>
          <w:rFonts w:ascii="Times New Roman" w:hAnsi="Times New Roman" w:cs="Times New Roman"/>
          <w:sz w:val="22"/>
          <w:szCs w:val="22"/>
        </w:rPr>
        <w:t>https:</w:t>
      </w:r>
      <w:proofErr w:type="gramStart"/>
      <w:r w:rsidRPr="00CC5F9B">
        <w:rPr>
          <w:rFonts w:ascii="Times New Roman" w:hAnsi="Times New Roman" w:cs="Times New Roman"/>
          <w:sz w:val="22"/>
          <w:szCs w:val="22"/>
        </w:rPr>
        <w:t>//www.mdnkids.com/news/?Serial</w:t>
      </w:r>
      <w:proofErr w:type="gramEnd"/>
      <w:r w:rsidRPr="00CC5F9B">
        <w:rPr>
          <w:rFonts w:ascii="Times New Roman" w:hAnsi="Times New Roman" w:cs="Times New Roman"/>
          <w:sz w:val="22"/>
          <w:szCs w:val="22"/>
        </w:rPr>
        <w:t>_NO=86588</w:t>
      </w:r>
    </w:p>
    <w:p w:rsidR="00FB2A72" w:rsidRPr="00FB2A72" w:rsidRDefault="00FB2A72" w:rsidP="00CC5F9B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451BC"/>
    <w:multiLevelType w:val="hybridMultilevel"/>
    <w:tmpl w:val="417A354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AA"/>
    <w:rsid w:val="00006810"/>
    <w:rsid w:val="00012CAE"/>
    <w:rsid w:val="000221C9"/>
    <w:rsid w:val="00023564"/>
    <w:rsid w:val="00036A49"/>
    <w:rsid w:val="00077C1A"/>
    <w:rsid w:val="00080ADB"/>
    <w:rsid w:val="000D7D86"/>
    <w:rsid w:val="000F0D60"/>
    <w:rsid w:val="001211C2"/>
    <w:rsid w:val="00123DF8"/>
    <w:rsid w:val="00133C3B"/>
    <w:rsid w:val="00137C5D"/>
    <w:rsid w:val="00150D2D"/>
    <w:rsid w:val="00165159"/>
    <w:rsid w:val="00186460"/>
    <w:rsid w:val="001B235F"/>
    <w:rsid w:val="001C3AB4"/>
    <w:rsid w:val="001D4103"/>
    <w:rsid w:val="002056A8"/>
    <w:rsid w:val="0024375B"/>
    <w:rsid w:val="0026145C"/>
    <w:rsid w:val="0029040C"/>
    <w:rsid w:val="002A3C90"/>
    <w:rsid w:val="0030241A"/>
    <w:rsid w:val="003204FE"/>
    <w:rsid w:val="00334297"/>
    <w:rsid w:val="003767F1"/>
    <w:rsid w:val="00385548"/>
    <w:rsid w:val="0039420F"/>
    <w:rsid w:val="00395D3D"/>
    <w:rsid w:val="003A07C3"/>
    <w:rsid w:val="003A10A5"/>
    <w:rsid w:val="003A4FAA"/>
    <w:rsid w:val="003B12D7"/>
    <w:rsid w:val="003C653A"/>
    <w:rsid w:val="0040452D"/>
    <w:rsid w:val="00434AB3"/>
    <w:rsid w:val="00466104"/>
    <w:rsid w:val="00472FA3"/>
    <w:rsid w:val="0048032C"/>
    <w:rsid w:val="00493DDA"/>
    <w:rsid w:val="004B0129"/>
    <w:rsid w:val="004B5137"/>
    <w:rsid w:val="004B7169"/>
    <w:rsid w:val="00517F6C"/>
    <w:rsid w:val="00532651"/>
    <w:rsid w:val="0055181C"/>
    <w:rsid w:val="00595111"/>
    <w:rsid w:val="0059642D"/>
    <w:rsid w:val="0059698E"/>
    <w:rsid w:val="005E4C67"/>
    <w:rsid w:val="006138CF"/>
    <w:rsid w:val="006462BB"/>
    <w:rsid w:val="006519D9"/>
    <w:rsid w:val="00652A66"/>
    <w:rsid w:val="006557A5"/>
    <w:rsid w:val="00664447"/>
    <w:rsid w:val="00665C26"/>
    <w:rsid w:val="00681BCD"/>
    <w:rsid w:val="006863A1"/>
    <w:rsid w:val="006A41E6"/>
    <w:rsid w:val="006C59CE"/>
    <w:rsid w:val="0070693C"/>
    <w:rsid w:val="00773DE9"/>
    <w:rsid w:val="007848F6"/>
    <w:rsid w:val="007874BD"/>
    <w:rsid w:val="0083532F"/>
    <w:rsid w:val="00835382"/>
    <w:rsid w:val="008424D7"/>
    <w:rsid w:val="008641FC"/>
    <w:rsid w:val="008A4AE4"/>
    <w:rsid w:val="008F5E1E"/>
    <w:rsid w:val="009239B8"/>
    <w:rsid w:val="00941C05"/>
    <w:rsid w:val="009802BE"/>
    <w:rsid w:val="00991E67"/>
    <w:rsid w:val="009F0B25"/>
    <w:rsid w:val="00A02E74"/>
    <w:rsid w:val="00A13766"/>
    <w:rsid w:val="00A337FC"/>
    <w:rsid w:val="00A444C2"/>
    <w:rsid w:val="00A55176"/>
    <w:rsid w:val="00A67E37"/>
    <w:rsid w:val="00AA7F0D"/>
    <w:rsid w:val="00AB3645"/>
    <w:rsid w:val="00AC0265"/>
    <w:rsid w:val="00AD0DBF"/>
    <w:rsid w:val="00B0748F"/>
    <w:rsid w:val="00B07ECF"/>
    <w:rsid w:val="00B14A51"/>
    <w:rsid w:val="00B335F3"/>
    <w:rsid w:val="00B419A9"/>
    <w:rsid w:val="00B42705"/>
    <w:rsid w:val="00B52984"/>
    <w:rsid w:val="00B81533"/>
    <w:rsid w:val="00B863BA"/>
    <w:rsid w:val="00BA6384"/>
    <w:rsid w:val="00BB62D6"/>
    <w:rsid w:val="00BE752F"/>
    <w:rsid w:val="00C002AF"/>
    <w:rsid w:val="00C46535"/>
    <w:rsid w:val="00C51290"/>
    <w:rsid w:val="00C665A2"/>
    <w:rsid w:val="00C67591"/>
    <w:rsid w:val="00C91AF6"/>
    <w:rsid w:val="00CA2516"/>
    <w:rsid w:val="00CB0CB1"/>
    <w:rsid w:val="00CB5AF3"/>
    <w:rsid w:val="00CC0FAA"/>
    <w:rsid w:val="00CC5F9B"/>
    <w:rsid w:val="00CF1870"/>
    <w:rsid w:val="00D0658B"/>
    <w:rsid w:val="00D3616E"/>
    <w:rsid w:val="00D56549"/>
    <w:rsid w:val="00D847FB"/>
    <w:rsid w:val="00DB3BE3"/>
    <w:rsid w:val="00DC0040"/>
    <w:rsid w:val="00DC21A6"/>
    <w:rsid w:val="00DD51B0"/>
    <w:rsid w:val="00DF08D8"/>
    <w:rsid w:val="00DF133B"/>
    <w:rsid w:val="00E10545"/>
    <w:rsid w:val="00E14B9A"/>
    <w:rsid w:val="00E16689"/>
    <w:rsid w:val="00E25A00"/>
    <w:rsid w:val="00E323C3"/>
    <w:rsid w:val="00E34BA3"/>
    <w:rsid w:val="00E7706A"/>
    <w:rsid w:val="00EA757B"/>
    <w:rsid w:val="00EB23E4"/>
    <w:rsid w:val="00EC161B"/>
    <w:rsid w:val="00EC2C8E"/>
    <w:rsid w:val="00F31C92"/>
    <w:rsid w:val="00F5298F"/>
    <w:rsid w:val="00F96B3B"/>
    <w:rsid w:val="00FA1B54"/>
    <w:rsid w:val="00FB2A72"/>
    <w:rsid w:val="00F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0ED87"/>
  <w15:chartTrackingRefBased/>
  <w15:docId w15:val="{0DFA21F1-E290-4038-9183-0577A2C4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93DD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AA"/>
    <w:pPr>
      <w:ind w:leftChars="200" w:left="480"/>
    </w:pPr>
  </w:style>
  <w:style w:type="character" w:styleId="a4">
    <w:name w:val="Strong"/>
    <w:basedOn w:val="a0"/>
    <w:uiPriority w:val="22"/>
    <w:qFormat/>
    <w:rsid w:val="009802BE"/>
    <w:rPr>
      <w:b/>
      <w:bCs/>
    </w:rPr>
  </w:style>
  <w:style w:type="paragraph" w:styleId="a5">
    <w:name w:val="header"/>
    <w:basedOn w:val="a"/>
    <w:link w:val="a6"/>
    <w:uiPriority w:val="99"/>
    <w:unhideWhenUsed/>
    <w:rsid w:val="0013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C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C3B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16689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E1668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16689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493D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FB2A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2A72"/>
    <w:rPr>
      <w:color w:val="808080"/>
      <w:shd w:val="clear" w:color="auto" w:fill="E6E6E6"/>
    </w:rPr>
  </w:style>
  <w:style w:type="paragraph" w:styleId="ae">
    <w:name w:val="Note Heading"/>
    <w:basedOn w:val="a"/>
    <w:next w:val="a"/>
    <w:link w:val="af"/>
    <w:uiPriority w:val="99"/>
    <w:unhideWhenUsed/>
    <w:rsid w:val="00FB2A72"/>
    <w:pPr>
      <w:jc w:val="center"/>
    </w:pPr>
    <w:rPr>
      <w:szCs w:val="24"/>
    </w:rPr>
  </w:style>
  <w:style w:type="character" w:customStyle="1" w:styleId="af">
    <w:name w:val="註釋標題 字元"/>
    <w:basedOn w:val="a0"/>
    <w:link w:val="ae"/>
    <w:uiPriority w:val="99"/>
    <w:rsid w:val="00FB2A72"/>
    <w:rPr>
      <w:szCs w:val="24"/>
    </w:rPr>
  </w:style>
  <w:style w:type="paragraph" w:styleId="af0">
    <w:name w:val="Closing"/>
    <w:basedOn w:val="a"/>
    <w:link w:val="af1"/>
    <w:uiPriority w:val="99"/>
    <w:unhideWhenUsed/>
    <w:rsid w:val="00FB2A72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1">
    <w:name w:val="結語 字元"/>
    <w:basedOn w:val="a0"/>
    <w:link w:val="af0"/>
    <w:uiPriority w:val="99"/>
    <w:rsid w:val="00FB2A72"/>
    <w:rPr>
      <w:rFonts w:ascii="Times New Roman" w:eastAsia="標楷體" w:hAnsi="Times New Roman" w:cs="Times New Roman"/>
    </w:rPr>
  </w:style>
  <w:style w:type="paragraph" w:styleId="af2">
    <w:name w:val="No Spacing"/>
    <w:uiPriority w:val="1"/>
    <w:qFormat/>
    <w:rsid w:val="00FB2A72"/>
    <w:pPr>
      <w:widowControl w:val="0"/>
    </w:pPr>
  </w:style>
  <w:style w:type="table" w:styleId="af3">
    <w:name w:val="Table Grid"/>
    <w:basedOn w:val="a1"/>
    <w:uiPriority w:val="39"/>
    <w:rsid w:val="00FB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15BC-E36F-445D-91D2-F539161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Jaw-Lin Wang</dc:creator>
  <cp:keywords/>
  <dc:description/>
  <cp:lastModifiedBy>user</cp:lastModifiedBy>
  <cp:revision>5</cp:revision>
  <dcterms:created xsi:type="dcterms:W3CDTF">2018-03-16T08:30:00Z</dcterms:created>
  <dcterms:modified xsi:type="dcterms:W3CDTF">2018-03-16T08:47:00Z</dcterms:modified>
</cp:coreProperties>
</file>